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附件1</w:t>
      </w:r>
    </w:p>
    <w:p>
      <w:pPr>
        <w:spacing w:line="560" w:lineRule="exact"/>
        <w:jc w:val="center"/>
        <w:rPr>
          <w:rFonts w:hint="default" w:ascii="Times New Roman" w:hAnsi="Times New Roman" w:eastAsia="方正小标宋_GBK" w:cs="Times New Roman"/>
          <w:color w:val="000000"/>
          <w:sz w:val="44"/>
          <w:szCs w:val="44"/>
        </w:rPr>
      </w:pPr>
    </w:p>
    <w:p>
      <w:pPr>
        <w:spacing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钦州市新建商品房预售资金监管实施细则</w:t>
      </w:r>
    </w:p>
    <w:p>
      <w:pPr>
        <w:spacing w:line="560" w:lineRule="exact"/>
        <w:ind w:firstLine="2880" w:firstLineChars="9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（征求意见稿）</w:t>
      </w:r>
    </w:p>
    <w:p>
      <w:pPr>
        <w:spacing w:line="560" w:lineRule="exact"/>
        <w:ind w:firstLine="2880" w:firstLineChars="900"/>
        <w:rPr>
          <w:rFonts w:hint="default" w:ascii="Times New Roman" w:hAnsi="Times New Roman" w:eastAsia="方正仿宋_GBK" w:cs="Times New Roman"/>
          <w:color w:val="000000"/>
          <w:sz w:val="32"/>
          <w:szCs w:val="32"/>
        </w:rPr>
      </w:pPr>
    </w:p>
    <w:p>
      <w:pPr>
        <w:spacing w:line="560" w:lineRule="exact"/>
        <w:ind w:firstLine="2880" w:firstLineChars="9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 xml:space="preserve">第一章 总则 </w:t>
      </w:r>
    </w:p>
    <w:p>
      <w:pPr>
        <w:spacing w:line="560" w:lineRule="exact"/>
        <w:rPr>
          <w:rFonts w:hint="default" w:ascii="Times New Roman" w:hAnsi="Times New Roman" w:eastAsia="方正仿宋_GBK" w:cs="Times New Roman"/>
          <w:color w:val="000000"/>
          <w:sz w:val="32"/>
          <w:szCs w:val="32"/>
        </w:rPr>
      </w:pP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第一条 为进一步保障房地产项目竣工交付，保护购房人的合法权益，促进房地产市场平稳健康发展，根据《中华人民共和国城市房地产管理法》《城市商品房预售管理办法》《住房和城乡建设部、人民银行、银保监会关于规范商品房预售资金监管的意见》《最高人民法院、住房和城乡建设部、中国人民银行关于规范人民法院保全执行措施确保商品房预售资金用于项目建设的通知》《自治区住房城乡建设厅、人民银行南宁中心支行、广西银保监局、自治区地方金融监管局关于印发进一步加强广西商品房预售资金监管工作实施意见的通知》等有关规定，结合我市实际，制定本细则。　　</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第二条 凡在市本级（含钦南区、钦北区各镇）新申请预售许可的商品房项目（以下简称监管项目），其预售资金的收存、使用和监督管理，适用本细则。保障性住房、人才公寓等政策性住房不纳入本细则管理。</w:t>
      </w:r>
    </w:p>
    <w:p>
      <w:pPr>
        <w:spacing w:line="560" w:lineRule="exact"/>
        <w:ind w:firstLine="651"/>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第三条 本细则所称的商品房预售资金，是指房地产开发企业通过预售方式销售新建商品房时，购房人按商品房买卖合同约定支付的定金、首付款、按揭贷款、一次性付款及分期付款等全部购房款。</w:t>
      </w:r>
    </w:p>
    <w:p>
      <w:pPr>
        <w:spacing w:line="560" w:lineRule="exact"/>
        <w:ind w:firstLine="651"/>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第四条 商品房预售资金的监督管理遵循政府监管、专户专存、专款专用、全程监管、重点把控、节点控制的原则。　</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第五条 商品房预售资金监管期限自核发监管项目《商品房预售许可证》开始，至完成房屋所有权首次登记止。</w:t>
      </w:r>
    </w:p>
    <w:p>
      <w:pPr>
        <w:spacing w:line="560" w:lineRule="exact"/>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rPr>
        <w:t>　　第六条 市住房城乡建设局是商品房预售资金监管部门（以下简称监管部门），负责全市商品房预售资金监管的组织、协调和监督。具体负责制定相关政策措施，督促检查商品房预售资金监管实施情况，对房地产开发企业、银行业金融机构的履责情况进行监督管理。</w:t>
      </w:r>
    </w:p>
    <w:p>
      <w:pPr>
        <w:spacing w:line="56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人民银行钦州市中心支行负责指导银行业金融机构做好商品房预售资金监管账户（以下简称监管账户）管理工作。</w:t>
      </w:r>
    </w:p>
    <w:p>
      <w:pPr>
        <w:spacing w:line="56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钦州银保监分局负责配合监管部门指导、监督商品房预售资金监管工作，并对银行业金融机构预售资金监管的操作风险和合规性进行监督检查。</w:t>
      </w:r>
    </w:p>
    <w:p>
      <w:pPr>
        <w:spacing w:line="56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市公积金管理中心负责对受托银行发放住房公积金贷款情况的监督管理。</w:t>
      </w:r>
    </w:p>
    <w:p>
      <w:pPr>
        <w:spacing w:line="56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房屋产权交易监理中心（以下简称监管机构）受市住房城乡建设局委托，具体负责商品房预售资金的收存、使用管理工作；负责设立“钦州市房屋产权交易监理中心预售资金监控账户”（以下简称预售资金监控账户），对预售资金监控管理系统进行维护、管理和使用；负责开展预售资金监管的政策宣传、业务培训和监督管理等工作。</w:t>
      </w:r>
    </w:p>
    <w:p>
      <w:pPr>
        <w:spacing w:line="56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shd w:val="clear" w:color="auto" w:fill="FFFFFF"/>
        </w:rPr>
        <w:t>监管银行是指</w:t>
      </w:r>
      <w:r>
        <w:rPr>
          <w:rFonts w:hint="default" w:ascii="Times New Roman" w:hAnsi="Times New Roman" w:eastAsia="方正仿宋_GBK" w:cs="Times New Roman"/>
          <w:color w:val="000000"/>
          <w:sz w:val="32"/>
          <w:szCs w:val="32"/>
        </w:rPr>
        <w:t>市住房城乡建设局</w:t>
      </w:r>
      <w:r>
        <w:rPr>
          <w:rFonts w:hint="default" w:ascii="Times New Roman" w:hAnsi="Times New Roman" w:eastAsia="方正仿宋_GBK" w:cs="Times New Roman"/>
          <w:sz w:val="32"/>
          <w:szCs w:val="32"/>
          <w:shd w:val="clear" w:color="auto" w:fill="FFFFFF"/>
        </w:rPr>
        <w:t>会同</w:t>
      </w:r>
      <w:r>
        <w:rPr>
          <w:rFonts w:hint="default" w:ascii="Times New Roman" w:hAnsi="Times New Roman" w:eastAsia="方正仿宋_GBK" w:cs="Times New Roman"/>
          <w:color w:val="000000"/>
          <w:sz w:val="32"/>
          <w:szCs w:val="32"/>
        </w:rPr>
        <w:t>人民银行钦州市中心支行、钦州银保监分局</w:t>
      </w:r>
      <w:r>
        <w:rPr>
          <w:rFonts w:hint="default" w:ascii="Times New Roman" w:hAnsi="Times New Roman" w:eastAsia="方正仿宋_GBK" w:cs="Times New Roman"/>
          <w:sz w:val="32"/>
          <w:szCs w:val="32"/>
          <w:shd w:val="clear" w:color="auto" w:fill="FFFFFF"/>
        </w:rPr>
        <w:t>通过公开招标方式确定，符合预售资金监管条件并与市住房城乡建设局签订《钦州市商品房预售资金监管合作协议》的银行业金融机构。负责对房地产开发项目对应的监管账户进行监督、管理和执行使用，配合监管机构做好预售资金的收存、使用管理。并按照本细则开展涉及新建商品房预售资金的经营管理活动，包括且不限于开设监管账户、规范收存预售资金、将按揭款直接存入预售资金监控账户等。</w:t>
      </w:r>
    </w:p>
    <w:p>
      <w:pPr>
        <w:spacing w:line="56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第七条 房地产开发企业申请商品房预售许可前，应在商品房预售资金监管银行名录库中选择一家符合预售资金监管条件的银行业金融机构作为监管银行，并与监管机构、监管银行共同签订商品房预售资金监管协议。</w:t>
      </w:r>
    </w:p>
    <w:p>
      <w:pPr>
        <w:spacing w:line="560" w:lineRule="exact"/>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 xml:space="preserve">  </w:t>
      </w:r>
    </w:p>
    <w:p>
      <w:pPr>
        <w:spacing w:line="560" w:lineRule="exac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第二章  预售资金监管协议、监控账户和监管账户</w:t>
      </w:r>
    </w:p>
    <w:p>
      <w:pPr>
        <w:spacing w:line="560" w:lineRule="exact"/>
        <w:rPr>
          <w:rFonts w:hint="default" w:ascii="Times New Roman" w:hAnsi="Times New Roman" w:eastAsia="方正仿宋_GBK" w:cs="Times New Roman"/>
          <w:color w:val="000000"/>
          <w:sz w:val="32"/>
          <w:szCs w:val="32"/>
        </w:rPr>
      </w:pPr>
    </w:p>
    <w:p>
      <w:pPr>
        <w:spacing w:line="560" w:lineRule="exact"/>
        <w:ind w:firstLine="63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第八条 钦州市商品房预售资金统一纳入预售资金监控账户管理，监管项目现场安装预售资金监控账户专用POS机，购房人将购房款存入预售资金监控账户。购房人可通过监管部门门户网站查询所购房屋预售资金入账信息。</w:t>
      </w:r>
    </w:p>
    <w:p>
      <w:pPr>
        <w:spacing w:line="56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监管部门组建钦州市商品房预售资金监管平台（以下简称监管平台），该平台包括预售资金监控管理系统（以下简称监控系统）、预售资金监管系统（以下简称</w:t>
      </w:r>
      <w:r>
        <w:rPr>
          <w:rFonts w:hint="default" w:ascii="Times New Roman" w:hAnsi="Times New Roman" w:eastAsia="方正仿宋_GBK" w:cs="Times New Roman"/>
          <w:color w:val="000000"/>
          <w:sz w:val="32"/>
          <w:szCs w:val="32"/>
          <w:highlight w:val="yellow"/>
          <w:shd w:val="clear" w:color="auto" w:fill="FFFFFF"/>
        </w:rPr>
        <w:t>监管系统</w:t>
      </w:r>
      <w:r>
        <w:rPr>
          <w:rFonts w:hint="default" w:ascii="Times New Roman" w:hAnsi="Times New Roman" w:eastAsia="方正仿宋_GBK" w:cs="Times New Roman"/>
          <w:color w:val="000000"/>
          <w:sz w:val="32"/>
          <w:szCs w:val="32"/>
          <w:shd w:val="clear" w:color="auto" w:fill="FFFFFF"/>
        </w:rPr>
        <w:t>）、数据交换共享系统等子系统。</w:t>
      </w:r>
    </w:p>
    <w:p>
      <w:pPr>
        <w:spacing w:line="56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监控系统记录预售资金收存情况，</w:t>
      </w:r>
      <w:r>
        <w:rPr>
          <w:rFonts w:hint="default" w:ascii="Times New Roman" w:hAnsi="Times New Roman" w:eastAsia="方正仿宋_GBK" w:cs="Times New Roman"/>
          <w:color w:val="000000"/>
          <w:sz w:val="32"/>
          <w:szCs w:val="32"/>
        </w:rPr>
        <w:t>购房款存入预售资金监控账户后，监控系统自动分配到对应项目监管账户</w:t>
      </w:r>
      <w:r>
        <w:rPr>
          <w:rFonts w:hint="default" w:ascii="Times New Roman" w:hAnsi="Times New Roman" w:eastAsia="方正仿宋_GBK" w:cs="Times New Roman"/>
          <w:color w:val="000000"/>
          <w:sz w:val="32"/>
          <w:szCs w:val="32"/>
          <w:shd w:val="clear" w:color="auto" w:fill="FFFFFF"/>
        </w:rPr>
        <w:t>。</w:t>
      </w:r>
    </w:p>
    <w:p>
      <w:pPr>
        <w:pStyle w:val="5"/>
        <w:shd w:val="clear" w:color="auto" w:fill="FFFFFF"/>
        <w:spacing w:before="0" w:beforeAutospacing="0" w:after="0" w:afterAutospacing="0" w:line="560" w:lineRule="exact"/>
        <w:ind w:firstLine="579" w:firstLineChars="181"/>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highlight w:val="yellow"/>
          <w:shd w:val="clear" w:color="auto" w:fill="FFFFFF"/>
        </w:rPr>
        <w:t>监管系统</w:t>
      </w:r>
      <w:r>
        <w:rPr>
          <w:rFonts w:hint="default" w:ascii="Times New Roman" w:hAnsi="Times New Roman" w:eastAsia="方正仿宋_GBK" w:cs="Times New Roman"/>
          <w:color w:val="000000"/>
          <w:sz w:val="32"/>
          <w:szCs w:val="32"/>
          <w:shd w:val="clear" w:color="auto" w:fill="FFFFFF"/>
        </w:rPr>
        <w:t>记载监管账户资金使用情况，房地产开发企业申请使用预售监管资金在该系统办理。</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第九条 房地产开发企业申请商品房预售许可前，应当按单个预售许可（单个预售许可可对应1个或多个预售楼栋）申请开立预售资金监管账户，1个预售许可证对应1个监管账户。同一监管项目分多次申请预售许可的，房地产开发企业应当分别设立监管账户。</w:t>
      </w:r>
      <w:r>
        <w:rPr>
          <w:rFonts w:hint="default" w:ascii="Times New Roman" w:hAnsi="Times New Roman" w:eastAsia="方正仿宋_GBK" w:cs="Times New Roman"/>
          <w:sz w:val="32"/>
          <w:szCs w:val="32"/>
          <w:shd w:val="clear" w:color="auto" w:fill="FFFFFF"/>
        </w:rPr>
        <w:t>房地产开发企业预售商品房期间，应在商品房销售现场一并公示</w:t>
      </w:r>
      <w:r>
        <w:rPr>
          <w:rFonts w:hint="default" w:ascii="Times New Roman" w:hAnsi="Times New Roman" w:eastAsia="方正仿宋_GBK" w:cs="Times New Roman"/>
          <w:color w:val="000000"/>
          <w:sz w:val="32"/>
          <w:szCs w:val="32"/>
        </w:rPr>
        <w:t>监管银行、监管账户、预售资金监控账户等信息</w:t>
      </w:r>
      <w:r>
        <w:rPr>
          <w:rFonts w:hint="default" w:ascii="Times New Roman" w:hAnsi="Times New Roman" w:eastAsia="方正仿宋_GBK" w:cs="Times New Roman"/>
          <w:sz w:val="32"/>
          <w:szCs w:val="32"/>
          <w:shd w:val="clear" w:color="auto" w:fill="FFFFFF"/>
        </w:rPr>
        <w:t>。</w:t>
      </w:r>
    </w:p>
    <w:p>
      <w:pPr>
        <w:pStyle w:val="5"/>
        <w:shd w:val="clear" w:color="auto" w:fill="FFFFFF"/>
        <w:snapToGrid w:val="0"/>
        <w:spacing w:beforeAutospacing="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sz w:val="32"/>
          <w:szCs w:val="32"/>
        </w:rPr>
        <w:t>第十条 商品房预售资金监管协议</w:t>
      </w:r>
      <w:r>
        <w:rPr>
          <w:rFonts w:hint="default" w:ascii="Times New Roman" w:hAnsi="Times New Roman" w:eastAsia="方正仿宋_GBK" w:cs="Times New Roman"/>
          <w:sz w:val="32"/>
          <w:szCs w:val="32"/>
          <w:shd w:val="clear" w:color="auto" w:fill="FFFFFF"/>
        </w:rPr>
        <w:t>包括商品房基本情况、预售资金监控账户、监管账户、监管额度、预售资金收存及使用方式、权利义务、违约责任、争议解决方式等内容。</w:t>
      </w:r>
      <w:r>
        <w:rPr>
          <w:rFonts w:hint="default" w:ascii="Times New Roman" w:hAnsi="Times New Roman" w:eastAsia="方正仿宋_GBK" w:cs="Times New Roman"/>
          <w:color w:val="000000"/>
          <w:sz w:val="32"/>
          <w:szCs w:val="32"/>
        </w:rPr>
        <w:t>商品房预售资金监管协议主要内容要在预售方案中予以明确，并通过附件方式在《商品房买卖合同》中予以体现。</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第十一条 商品房预售资金监管协议签订后，原则上不予办理监管银行、监管账户的变更。确需变更的，须经监管机构同意，将监管账户中的预售资金全部转入到预售资金监控账户，房地产开发企业和原监管银行方可解除监管协议，并与监管机构、新的监管银行重新签订商品房预售资金监管协议，在销售现场公示并告知购房人。变更</w:t>
      </w:r>
      <w:r>
        <w:rPr>
          <w:rFonts w:hint="default" w:ascii="Times New Roman" w:hAnsi="Times New Roman" w:eastAsia="方正仿宋_GBK" w:cs="Times New Roman"/>
          <w:color w:val="000000"/>
          <w:sz w:val="32"/>
          <w:szCs w:val="32"/>
          <w:highlight w:val="yellow"/>
        </w:rPr>
        <w:t>期间</w:t>
      </w:r>
      <w:r>
        <w:rPr>
          <w:rFonts w:hint="default" w:ascii="Times New Roman" w:hAnsi="Times New Roman" w:eastAsia="方正仿宋_GBK" w:cs="Times New Roman"/>
          <w:color w:val="000000"/>
          <w:sz w:val="32"/>
          <w:szCs w:val="32"/>
        </w:rPr>
        <w:t>不予办理商品房买卖合同网签、预售资金收存、使用等业务。按规定办理商品房预售许可证变更手续后，房地产开发企业申请将转入到预售资金监控账户的预售资金划转到新的监管账户上。</w:t>
      </w:r>
    </w:p>
    <w:p>
      <w:pPr>
        <w:spacing w:line="560" w:lineRule="exact"/>
        <w:ind w:firstLine="6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第十二条 监管账户被人民法院冻结的，监管银行应及时通知监管机构。</w:t>
      </w:r>
      <w:r>
        <w:rPr>
          <w:rFonts w:hint="default" w:ascii="Times New Roman" w:hAnsi="Times New Roman" w:eastAsia="方正仿宋_GBK" w:cs="Times New Roman"/>
          <w:color w:val="000000"/>
          <w:kern w:val="0"/>
          <w:sz w:val="32"/>
          <w:szCs w:val="32"/>
        </w:rPr>
        <w:t>监管账户内资金的使用，严格按照《最高人民法院 住房和城乡建设部 中国人民银行关于规范人民法院保全执行措施确保商品房预售资金用于项目建设的通知》（法〔2022〕12号）有关规定执行。</w:t>
      </w:r>
    </w:p>
    <w:p>
      <w:pPr>
        <w:spacing w:line="560" w:lineRule="exact"/>
        <w:ind w:firstLine="66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第十三条 房地产开发企业办理监管项目商品房现售备案并完成房屋所有权首次登记后，可向监管机构申请解除预售资金监管，监管机构确认通过后，房地产开发企业可与监管银行办理监管账户注销手续。</w:t>
      </w:r>
    </w:p>
    <w:p>
      <w:pPr>
        <w:spacing w:line="560" w:lineRule="exact"/>
        <w:jc w:val="center"/>
        <w:rPr>
          <w:rFonts w:hint="default" w:ascii="Times New Roman" w:hAnsi="Times New Roman" w:eastAsia="方正黑体_GBK" w:cs="Times New Roman"/>
          <w:color w:val="000000"/>
          <w:sz w:val="32"/>
          <w:szCs w:val="32"/>
        </w:rPr>
      </w:pPr>
    </w:p>
    <w:p>
      <w:pPr>
        <w:spacing w:line="560" w:lineRule="exac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第三章  预售资金收存管理</w:t>
      </w:r>
    </w:p>
    <w:p>
      <w:pPr>
        <w:spacing w:line="560" w:lineRule="exact"/>
        <w:rPr>
          <w:rFonts w:hint="default" w:ascii="Times New Roman" w:hAnsi="Times New Roman" w:eastAsia="方正仿宋_GBK" w:cs="Times New Roman"/>
          <w:color w:val="000000"/>
          <w:sz w:val="32"/>
          <w:szCs w:val="32"/>
        </w:rPr>
      </w:pPr>
    </w:p>
    <w:p>
      <w:pPr>
        <w:spacing w:line="56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第十四条 房地产开发企业预售新建商品房时，应当在商品房买卖合同中注明商品房预售资金的监管银行、监管账户、预售资金监控账户等信息，并与购房人约定将所有购房款直接存入预售资金监控账户。</w:t>
      </w:r>
    </w:p>
    <w:p>
      <w:pPr>
        <w:spacing w:line="560" w:lineRule="exact"/>
        <w:ind w:firstLine="63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房地产开发企业应当将购房人通过POS机等方式支付的购房款全部直接存入预售资金监控账户，不得以其他任何形式或账户违规收存预售资金。</w:t>
      </w:r>
    </w:p>
    <w:p>
      <w:pPr>
        <w:spacing w:line="560" w:lineRule="exact"/>
        <w:ind w:firstLine="63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购房人申请贷款的，贷款银行和公积金管理中心的受托银行应将贷款直接发放至预售资金监控账户，相应条款应写入购房人贷款合同，并按要求办理房屋抵押合同网签备案，严禁私自留存或划转至其他账户。</w:t>
      </w:r>
    </w:p>
    <w:p>
      <w:pPr>
        <w:spacing w:line="560" w:lineRule="exact"/>
        <w:ind w:firstLine="66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第十五条 </w:t>
      </w:r>
      <w:r>
        <w:rPr>
          <w:rFonts w:hint="default" w:ascii="Times New Roman" w:hAnsi="Times New Roman" w:eastAsia="方正仿宋_GBK" w:cs="Times New Roman"/>
          <w:sz w:val="32"/>
          <w:szCs w:val="32"/>
          <w:shd w:val="clear" w:color="auto" w:fill="FFFFFF"/>
        </w:rPr>
        <w:t>房地产开发企业按规定在办理新建商品房买卖合同网签备案时，</w:t>
      </w:r>
      <w:r>
        <w:rPr>
          <w:rFonts w:hint="default" w:ascii="Times New Roman" w:hAnsi="Times New Roman" w:eastAsia="方正仿宋_GBK" w:cs="Times New Roman"/>
          <w:color w:val="000000"/>
          <w:sz w:val="32"/>
          <w:szCs w:val="32"/>
        </w:rPr>
        <w:t>监管机构</w:t>
      </w:r>
      <w:r>
        <w:rPr>
          <w:rFonts w:hint="default" w:ascii="Times New Roman" w:hAnsi="Times New Roman" w:eastAsia="方正仿宋_GBK" w:cs="Times New Roman"/>
          <w:sz w:val="32"/>
          <w:szCs w:val="32"/>
          <w:shd w:val="clear" w:color="auto" w:fill="FFFFFF"/>
        </w:rPr>
        <w:t>核验该商品房购房款存入预售资金监控账户的信息。付款方式为一次性、分期、其他方式购买商品房的，每套房屋入账金额与新建商品房买卖合同约定入账金额相匹配时，方能办理该套新建商品房买卖合同网签备案；付款方式为按揭贷款购买商品房的，每套房屋入账金额与新建商品房买卖合同约定首付金额相匹配时，并按要求办理房屋抵押合同网签申请，方能办理该套新建商品房买卖合同及抵押合同网签备案。</w:t>
      </w:r>
    </w:p>
    <w:p>
      <w:pPr>
        <w:spacing w:line="560" w:lineRule="exact"/>
        <w:ind w:firstLine="66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第十六条 </w:t>
      </w:r>
      <w:r>
        <w:rPr>
          <w:rFonts w:hint="default" w:ascii="Times New Roman" w:hAnsi="Times New Roman" w:eastAsia="方正仿宋_GBK" w:cs="Times New Roman"/>
          <w:sz w:val="32"/>
          <w:szCs w:val="32"/>
        </w:rPr>
        <w:t>监管银行需认真做好预售资金流水审核，对不明资金进账，要及时进行清理清退，监管账户只允许接收预售资金监控账户自动分配转入的购房款项。存入预售资金监控账户的购房款项，应附对应“一房一码”，监控系统自动分配当天完成转入对应项目监管账户，对不明入账款项当天系统原路退回。</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p>
      <w:pPr>
        <w:spacing w:line="560" w:lineRule="exact"/>
        <w:ind w:firstLine="1920" w:firstLineChars="6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第四章 预售资金使用管理</w:t>
      </w:r>
    </w:p>
    <w:p>
      <w:pPr>
        <w:spacing w:line="560" w:lineRule="exact"/>
        <w:ind w:firstLine="640" w:firstLineChars="200"/>
        <w:rPr>
          <w:rFonts w:hint="default" w:ascii="Times New Roman" w:hAnsi="Times New Roman" w:eastAsia="方正仿宋_GBK" w:cs="Times New Roman"/>
          <w:color w:val="000000"/>
          <w:sz w:val="32"/>
          <w:szCs w:val="32"/>
        </w:rPr>
      </w:pP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第十七条 监管账户内的资金</w:t>
      </w:r>
      <w:r>
        <w:rPr>
          <w:rFonts w:hint="default" w:ascii="Times New Roman" w:hAnsi="Times New Roman" w:eastAsia="方正仿宋_GBK" w:cs="Times New Roman"/>
          <w:color w:val="000000"/>
          <w:sz w:val="32"/>
          <w:szCs w:val="32"/>
          <w:highlight w:val="yellow"/>
        </w:rPr>
        <w:t>分</w:t>
      </w:r>
      <w:r>
        <w:rPr>
          <w:rFonts w:hint="default" w:ascii="Times New Roman" w:hAnsi="Times New Roman" w:eastAsia="方正仿宋_GBK" w:cs="Times New Roman"/>
          <w:color w:val="000000"/>
          <w:sz w:val="32"/>
          <w:szCs w:val="32"/>
        </w:rPr>
        <w:t>重点监管资金与非重点监管资金。重点监管资金是指监管项目达到竣工交付条件所需的资金，重点监管资金额度不得低于工程建设预算总额（包括建筑安装和配套建设等费用）的110%，且每平方米不得低于钦州市建设工程造价信息公布的房屋建筑造价指标指数的115%。非重点监管资金是指超出监管账户内重点监管资金以外的资金。</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第十八条 监管账户内的商品房预售资金应首先用于监管项目的工程建设。重点监管资金必须专项用于支付监管项目有关工程建设费用，主要包括项目建设必需的建筑材料、设备和施工进度款等相关支出。重点监管资金，在监管项目完成房屋所有权首次登记前，银行业金融机构不得擅自扣划；房地产开发企业不得擅自挪作他用，设立子公司的房地产开发企业，集团公司不得擅自抽调。非重点监管资金，在保证项目工程进度的前提下，可由房地产开发企业提取使用。房地产开发企业可以凭商业银行等金融机构出具的保函等额替代重点监管资金。　</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第十九条 房地产开发企业申请支取重点监管资金，应满足相应的工程建设进度和节点留存资金要求，各节点相应的使用数额不得超过以下最高限额：</w:t>
      </w:r>
    </w:p>
    <w:p>
      <w:pPr>
        <w:spacing w:line="560" w:lineRule="exact"/>
        <w:ind w:firstLine="160" w:firstLineChars="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（一）监管项目取得《商品房预售许可证》后至下一节点前申请用款的，使用数额不超过重点监管资金的30%；　　</w:t>
      </w:r>
    </w:p>
    <w:p>
      <w:pPr>
        <w:spacing w:line="560" w:lineRule="exact"/>
        <w:ind w:firstLine="480" w:firstLineChars="1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（二）监管项目主体结构封顶申请用款的，使用数额累计不超过重点监管资金的75%；　　</w:t>
      </w:r>
    </w:p>
    <w:p>
      <w:pPr>
        <w:spacing w:line="560" w:lineRule="exact"/>
        <w:ind w:firstLine="480" w:firstLineChars="1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（三）监管项目完成外墙、门窗、电梯装修工程申请用款的，使用数额累计不超过重点监管资金的95%；</w:t>
      </w:r>
    </w:p>
    <w:p>
      <w:pPr>
        <w:spacing w:line="560" w:lineRule="exact"/>
        <w:ind w:firstLine="480" w:firstLineChars="1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（四）监管项目完成建设工程竣工验收备案申请用款的，使用数额累计不超过重点监管资金的98%；　　</w:t>
      </w:r>
    </w:p>
    <w:p>
      <w:pPr>
        <w:spacing w:line="560" w:lineRule="exact"/>
        <w:ind w:firstLine="480" w:firstLineChars="1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（五）监管项目办理商品房现售备案并完成房屋所有权首次登记后，可以全额使用剩余的重点监管资金；　　</w:t>
      </w:r>
    </w:p>
    <w:p>
      <w:pPr>
        <w:spacing w:line="560" w:lineRule="exact"/>
        <w:ind w:firstLine="480" w:firstLineChars="1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监管项目在7层以上（含7层）17层以下（含17层）的建筑完成“建设层数达二分之一”节点申请用款的，使用数额累计不超过重点监管资金的45%；18层以上（含18层）的建筑完成“建设层数达三分之一”节点和“建设层数达三分之二”节点申请用款的，使用数额累计分别不超过重点监管资金的40%和65%。</w:t>
      </w:r>
    </w:p>
    <w:p>
      <w:pPr>
        <w:pStyle w:val="5"/>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监管项目完成建设工程竣工验收备案前，监管账户内资金余额应当不低于重点监管资金的5%；完成房屋所有权首次登记前，监管账户内资金余额应当不低于重点监管资金的2%。</w:t>
      </w:r>
    </w:p>
    <w:p>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sz w:val="32"/>
          <w:szCs w:val="32"/>
        </w:rPr>
        <w:t xml:space="preserve">第二十条 </w:t>
      </w:r>
      <w:r>
        <w:rPr>
          <w:rFonts w:hint="default" w:ascii="Times New Roman" w:hAnsi="Times New Roman" w:eastAsia="方正仿宋_GBK" w:cs="Times New Roman"/>
          <w:sz w:val="32"/>
          <w:szCs w:val="32"/>
          <w:shd w:val="clear" w:color="auto" w:fill="FFFFFF"/>
        </w:rPr>
        <w:t>房地产开发企业申请使用</w:t>
      </w:r>
      <w:r>
        <w:rPr>
          <w:rFonts w:hint="default" w:ascii="Times New Roman" w:hAnsi="Times New Roman" w:eastAsia="方正仿宋_GBK" w:cs="Times New Roman"/>
          <w:color w:val="000000"/>
          <w:sz w:val="32"/>
          <w:szCs w:val="32"/>
        </w:rPr>
        <w:t>重点监管资金的</w:t>
      </w:r>
      <w:r>
        <w:rPr>
          <w:rFonts w:hint="default" w:ascii="Times New Roman" w:hAnsi="Times New Roman" w:eastAsia="方正仿宋_GBK" w:cs="Times New Roman"/>
          <w:sz w:val="32"/>
          <w:szCs w:val="32"/>
          <w:shd w:val="clear" w:color="auto" w:fill="FFFFFF"/>
        </w:rPr>
        <w:t>，通过</w:t>
      </w:r>
      <w:r>
        <w:rPr>
          <w:rFonts w:hint="default" w:ascii="Times New Roman" w:hAnsi="Times New Roman" w:eastAsia="方正仿宋_GBK" w:cs="Times New Roman"/>
          <w:sz w:val="32"/>
          <w:szCs w:val="32"/>
          <w:highlight w:val="yellow"/>
          <w:shd w:val="clear" w:color="auto" w:fill="FFFFFF"/>
        </w:rPr>
        <w:t>监管系统</w:t>
      </w:r>
      <w:r>
        <w:rPr>
          <w:rFonts w:hint="default" w:ascii="Times New Roman" w:hAnsi="Times New Roman" w:eastAsia="方正仿宋_GBK" w:cs="Times New Roman"/>
          <w:sz w:val="32"/>
          <w:szCs w:val="32"/>
          <w:shd w:val="clear" w:color="auto" w:fill="FFFFFF"/>
        </w:rPr>
        <w:t>提出资金使用申请，监管机构自受理使用申请之日起，4个工作日内完成相关资料审核和</w:t>
      </w:r>
      <w:r>
        <w:rPr>
          <w:rFonts w:hint="default" w:ascii="Times New Roman" w:hAnsi="Times New Roman" w:eastAsia="方正仿宋_GBK" w:cs="Times New Roman"/>
          <w:color w:val="000000"/>
          <w:sz w:val="32"/>
          <w:szCs w:val="32"/>
        </w:rPr>
        <w:t>现场查勘</w:t>
      </w:r>
      <w:r>
        <w:rPr>
          <w:rFonts w:hint="default" w:ascii="Times New Roman" w:hAnsi="Times New Roman" w:eastAsia="方正仿宋_GBK" w:cs="Times New Roman"/>
          <w:sz w:val="32"/>
          <w:szCs w:val="32"/>
          <w:shd w:val="clear" w:color="auto" w:fill="FFFFFF"/>
        </w:rPr>
        <w:t>，对于符合条件的，监管机构通过</w:t>
      </w:r>
      <w:r>
        <w:rPr>
          <w:rFonts w:hint="default" w:ascii="Times New Roman" w:hAnsi="Times New Roman" w:eastAsia="方正仿宋_GBK" w:cs="Times New Roman"/>
          <w:sz w:val="32"/>
          <w:szCs w:val="32"/>
          <w:highlight w:val="yellow"/>
          <w:shd w:val="clear" w:color="auto" w:fill="FFFFFF"/>
        </w:rPr>
        <w:t>监管系统</w:t>
      </w:r>
      <w:r>
        <w:rPr>
          <w:rFonts w:hint="default" w:ascii="Times New Roman" w:hAnsi="Times New Roman" w:eastAsia="方正仿宋_GBK" w:cs="Times New Roman"/>
          <w:sz w:val="32"/>
          <w:szCs w:val="32"/>
          <w:shd w:val="clear" w:color="auto" w:fill="FFFFFF"/>
        </w:rPr>
        <w:t>向监管银行发送划转指令，监管银行按指令直接划转至指定账户。</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房地产开发企业申请使用重点监管资金，应通过</w:t>
      </w:r>
      <w:r>
        <w:rPr>
          <w:rFonts w:hint="default" w:ascii="Times New Roman" w:hAnsi="Times New Roman" w:eastAsia="方正仿宋_GBK" w:cs="Times New Roman"/>
          <w:color w:val="000000"/>
          <w:sz w:val="32"/>
          <w:szCs w:val="32"/>
          <w:highlight w:val="yellow"/>
        </w:rPr>
        <w:t>监管系统</w:t>
      </w:r>
      <w:r>
        <w:rPr>
          <w:rFonts w:hint="default" w:ascii="Times New Roman" w:hAnsi="Times New Roman" w:eastAsia="方正仿宋_GBK" w:cs="Times New Roman"/>
          <w:color w:val="000000"/>
          <w:sz w:val="32"/>
          <w:szCs w:val="32"/>
        </w:rPr>
        <w:t>提交以下材料：</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（一）商品房预售资金使用申请表；</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（二）资金使用节点证明文件（取得商品房预售许可证，无需提供）：</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1.主体结构封顶，提交建设、施工、监理单位出具主体结构封顶的证明文件；</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2.完成外墙、门窗、电梯装修工程，提交建设、施工、安装、监理单位出具外墙、门窗、电梯装修工程完成的证明文件；</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3.完成建设工程竣工验收备案，提交相关行政主管部门出具的建设工程竣工验收备案表（监管部门核发的无需提供）；</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4.办理商品房现售备案（取得现售备案证明，无需提供）并完成房屋所有权首次登记，提交相关行政主管部门出具的不动产权证书。</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5.7层以上（含7层）17层以下（含17层）的建筑建设层数达二分之一资金使用节点、18层以上（含18层）的建筑建设层数达三分之一和三分之二资金使用节点的，提交建设、施工、监理单位出具层数达到的证明文件。</w:t>
      </w:r>
    </w:p>
    <w:p>
      <w:pPr>
        <w:spacing w:line="560" w:lineRule="exact"/>
        <w:ind w:firstLine="480" w:firstLineChars="1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（三）其他资料。用于支付施工进度款的，提供承建商的用款申请、施工合同；用于支付购买项目建设</w:t>
      </w:r>
      <w:r>
        <w:rPr>
          <w:rFonts w:hint="default" w:ascii="Times New Roman" w:hAnsi="Times New Roman" w:eastAsia="方正仿宋_GBK" w:cs="Times New Roman"/>
          <w:color w:val="000000"/>
          <w:sz w:val="32"/>
          <w:szCs w:val="32"/>
          <w:highlight w:val="yellow"/>
        </w:rPr>
        <w:t>必须</w:t>
      </w:r>
      <w:bookmarkStart w:id="0" w:name="_GoBack"/>
      <w:bookmarkEnd w:id="0"/>
      <w:r>
        <w:rPr>
          <w:rFonts w:hint="default" w:ascii="Times New Roman" w:hAnsi="Times New Roman" w:eastAsia="方正仿宋_GBK" w:cs="Times New Roman"/>
          <w:color w:val="000000"/>
          <w:sz w:val="32"/>
          <w:szCs w:val="32"/>
          <w:highlight w:val="yellow"/>
        </w:rPr>
        <w:t>的</w:t>
      </w:r>
      <w:r>
        <w:rPr>
          <w:rFonts w:hint="default" w:ascii="Times New Roman" w:hAnsi="Times New Roman" w:eastAsia="方正仿宋_GBK" w:cs="Times New Roman"/>
          <w:color w:val="000000"/>
          <w:sz w:val="32"/>
          <w:szCs w:val="32"/>
        </w:rPr>
        <w:t>建筑材料、设备款项的，提供与供货商签订的购销合同等；房地产开发企业已经向上述单位拨付款项的，提供付款证明；拟向上述单位拨付款项的，提供对方指定的银行账户。</w:t>
      </w:r>
    </w:p>
    <w:p>
      <w:pPr>
        <w:pStyle w:val="5"/>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第二十一条 监管项目因销售不畅等原因，监管账户内的资金未达到重点监管额度，且工程形象进度及账户余额不满足规定要求，或者出现重大经营性风险、可能引发重大矛盾纠纷的，经监管部门研究核实后，将该项目列为重点监管项目，监管机构在监管平台予以标注，并推送监管银行。列为重点监管项目期间，该项目所有预售资金全额监管。</w:t>
      </w:r>
      <w:r>
        <w:rPr>
          <w:rFonts w:hint="default" w:ascii="Times New Roman" w:hAnsi="Times New Roman" w:eastAsia="方正仿宋_GBK" w:cs="Times New Roman"/>
          <w:color w:val="000000"/>
          <w:sz w:val="32"/>
          <w:szCs w:val="32"/>
          <w:shd w:val="clear" w:color="auto" w:fill="FFFFFF"/>
        </w:rPr>
        <w:t>房地产开发企业申请后，按照监管额度构成和资金使用优先级别，由监管机构对每一笔资金使用用途进行核查，审核通过后，受理资金使用申请，发送资金划转指令到监管银行划款。</w:t>
      </w:r>
      <w:r>
        <w:rPr>
          <w:rFonts w:hint="default" w:ascii="Times New Roman" w:hAnsi="Times New Roman" w:eastAsia="方正仿宋_GBK" w:cs="Times New Roman"/>
          <w:color w:val="000000"/>
          <w:sz w:val="32"/>
          <w:szCs w:val="32"/>
        </w:rPr>
        <w:t>该项目风险隐患消除后，经监管部门研究同意后，可取消对该项目的重点监管，其预售资金使用按照正常监管项目的相关规定执行。</w:t>
      </w:r>
    </w:p>
    <w:p>
      <w:pPr>
        <w:spacing w:line="560" w:lineRule="exact"/>
        <w:ind w:firstLine="63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第二十二条 除本细则第二十一条规定外，监管项目有下列情形之一的，监管机构不予办理商品房预售资金使用申请：</w:t>
      </w:r>
    </w:p>
    <w:p>
      <w:pPr>
        <w:pStyle w:val="8"/>
        <w:numPr>
          <w:ilvl w:val="0"/>
          <w:numId w:val="1"/>
        </w:numPr>
        <w:spacing w:line="560" w:lineRule="exact"/>
        <w:ind w:firstLineChars="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监管项目未达到本细则规定的使用节点的；</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（二）监管账户内资金余额未达到相应节点留存余额要求，房地产开发企业申请用于非工程建设的款项的；　　</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（三）无正当理由停工半年以上或工程存在严重质量问题的；　　</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（四）提交资料不实不全的；　　</w:t>
      </w:r>
    </w:p>
    <w:p>
      <w:pPr>
        <w:spacing w:line="56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（五）房地产开发企业违反预售资金监管相关规定且未按要求整改到位的。</w:t>
      </w:r>
    </w:p>
    <w:p>
      <w:pPr>
        <w:spacing w:line="560" w:lineRule="exact"/>
        <w:ind w:firstLine="63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第二十三条 房地产开发企业和购房人之间解除商品房买卖合同的，应共同到住房城乡建设部门申请撤销商品房买卖合同网签备案，住房城乡建设部门审核准予撤销的，由房地产开发企业在</w:t>
      </w:r>
      <w:r>
        <w:rPr>
          <w:rFonts w:hint="default" w:ascii="Times New Roman" w:hAnsi="Times New Roman" w:eastAsia="方正仿宋_GBK" w:cs="Times New Roman"/>
          <w:color w:val="000000"/>
          <w:sz w:val="32"/>
          <w:szCs w:val="32"/>
          <w:highlight w:val="yellow"/>
        </w:rPr>
        <w:t>监管系统</w:t>
      </w:r>
      <w:r>
        <w:rPr>
          <w:rFonts w:hint="default" w:ascii="Times New Roman" w:hAnsi="Times New Roman" w:eastAsia="方正仿宋_GBK" w:cs="Times New Roman"/>
          <w:color w:val="000000"/>
          <w:sz w:val="32"/>
          <w:szCs w:val="32"/>
        </w:rPr>
        <w:t>申请退款，经监管机构审核后，由</w:t>
      </w:r>
      <w:r>
        <w:rPr>
          <w:rFonts w:hint="default" w:ascii="Times New Roman" w:hAnsi="Times New Roman" w:eastAsia="方正仿宋_GBK" w:cs="Times New Roman"/>
          <w:bCs/>
          <w:color w:val="000000"/>
          <w:sz w:val="32"/>
          <w:szCs w:val="32"/>
        </w:rPr>
        <w:t>监管银行将已收存入监管账户的购房款直接退付购房人。</w:t>
      </w:r>
    </w:p>
    <w:p>
      <w:pPr>
        <w:spacing w:line="560" w:lineRule="exact"/>
        <w:ind w:firstLine="630"/>
        <w:rPr>
          <w:rFonts w:hint="default" w:ascii="Times New Roman" w:hAnsi="Times New Roman" w:eastAsia="方正仿宋_GBK" w:cs="Times New Roman"/>
          <w:bCs/>
          <w:color w:val="000000"/>
          <w:sz w:val="32"/>
          <w:szCs w:val="32"/>
        </w:rPr>
      </w:pPr>
    </w:p>
    <w:p>
      <w:pPr>
        <w:pStyle w:val="8"/>
        <w:numPr>
          <w:ilvl w:val="0"/>
          <w:numId w:val="2"/>
        </w:numPr>
        <w:spacing w:line="560" w:lineRule="exact"/>
        <w:ind w:firstLineChars="0"/>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 xml:space="preserve">  监督管理</w:t>
      </w:r>
    </w:p>
    <w:p>
      <w:pPr>
        <w:spacing w:line="560" w:lineRule="exact"/>
        <w:rPr>
          <w:rFonts w:hint="default" w:ascii="Times New Roman" w:hAnsi="Times New Roman" w:eastAsia="方正仿宋_GBK" w:cs="Times New Roman"/>
          <w:color w:val="000000"/>
          <w:sz w:val="32"/>
          <w:szCs w:val="32"/>
        </w:rPr>
      </w:pPr>
    </w:p>
    <w:p>
      <w:pPr>
        <w:spacing w:line="560" w:lineRule="exact"/>
        <w:ind w:firstLine="63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四条 市住房城乡建设局与人民银行钦州市中心支行、钦州银保监分局建立联动工作机制，按照商品房预售资金监管职责对房地产开发企业、银行业金融机构在预售资金监管方面进行监督指导，发现房地产开发企业抽逃、挪用预售资金以及银行业金融机构违规扣划预售资金等违法违规行为的，按照各自职责依法依规严肃处理。</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第二十五条 监管机构、监管银行、房地产开发企业应加强监管平台预警指标处置工作，确保专人专岗，及时核查预警事项，限期在预售资金监管系统上反馈核查结果。</w:t>
      </w:r>
      <w:r>
        <w:rPr>
          <w:rFonts w:hint="default" w:ascii="Times New Roman" w:hAnsi="Times New Roman" w:eastAsia="方正仿宋_GBK" w:cs="Times New Roman"/>
          <w:color w:val="000000"/>
          <w:sz w:val="32"/>
          <w:szCs w:val="32"/>
          <w:shd w:val="clear" w:color="auto" w:fill="FFFFFF"/>
        </w:rPr>
        <w:t>从预售之日起满3个月的，预售资金实际归集额度低于应归集额度80%时，监管部门采取商品房网签管控措施加强预售资金归集；预售资金实际归集额度低于应归集额度60%时，监管部门采取暂停商品住房价格指导、商品房预售、监管资金审批使用等措施加强预售资金归集。对房地产开发企业存在预售资金归集不到位的，由监管部门责令房地产开发企业整改完成后方可解除相关行政管控措施。</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第二十六条 监管部门对监管项目预售资金收存、使用等情况开展随机监督抽查，并对存在以下情形的项目实施重点监督检查：</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（一）监控系统发出预警信息的监管项目；</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（二）涉及多次聚众上访、重大经济纠纷等引发社会矛盾、涉稳风险问题的监管项目及其关联企业建设的其他预售项目；</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（三）其他根据监管需要进行重点检查的预售项目。</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监管机构受监管部门委托，协助开展商品房项目预售资金监管的抽查和重点检查工作，核查监管项目的资金异动情况，对存在风险的项目及时启动预警机制。</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监管银行、按揭贷款发放银行、公积金管理中心应依法予以配合。</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七条 房地产开发企业有下列情形之一的，由监管部门责令其限期整改；逾期不整改的，监管部门有权关闭该项目交易网签系统，暂停拨付监管账户资金，视情节予以通报等处理。情节严重且逾期未整改到位的，实施联动处置，暂停办理其项目预售许可、现售备案及在全市所有商品房项目交易网签系统使用权限。涉及违反相关法律法规的，移交相关部门处理，并将其违规行为记入企业信用档案：</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（一）未按规定收存、使用商品房预售资金的；</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（二）提供虚假材料申请使用商品房预售资金的；</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（三）其他违反商品房预售资金监管规定的行为。</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第二十八条 监管银行要严格按照商品房预售资金监管协议做好监管账户监控，定期与监管机构进行对账，发现房地产开发企业存在违规挪用重点监管资金问题的，应当停止划转，并立即告知监管机构。</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第二十九条</w:t>
      </w:r>
      <w:r>
        <w:rPr>
          <w:rFonts w:hint="default" w:ascii="Times New Roman" w:hAnsi="Times New Roman" w:eastAsia="MS Mincho" w:cs="Times New Roman"/>
          <w:color w:val="000000"/>
          <w:sz w:val="32"/>
          <w:szCs w:val="32"/>
        </w:rPr>
        <w:t> </w:t>
      </w:r>
      <w:r>
        <w:rPr>
          <w:rFonts w:hint="default" w:ascii="Times New Roman" w:hAnsi="Times New Roman" w:eastAsia="方正仿宋_GBK" w:cs="Times New Roman"/>
          <w:color w:val="000000"/>
          <w:sz w:val="32"/>
          <w:szCs w:val="32"/>
          <w:shd w:val="clear" w:color="auto" w:fill="FFFFFF"/>
        </w:rPr>
        <w:t>监管银行违反</w:t>
      </w:r>
      <w:r>
        <w:rPr>
          <w:rFonts w:hint="default" w:ascii="Times New Roman" w:hAnsi="Times New Roman" w:eastAsia="方正仿宋_GBK" w:cs="Times New Roman"/>
          <w:color w:val="000000"/>
          <w:sz w:val="32"/>
          <w:szCs w:val="32"/>
        </w:rPr>
        <w:t>商品房预售资金监管协议</w:t>
      </w:r>
      <w:r>
        <w:rPr>
          <w:rFonts w:hint="default" w:ascii="Times New Roman" w:hAnsi="Times New Roman" w:eastAsia="方正仿宋_GBK" w:cs="Times New Roman"/>
          <w:color w:val="000000"/>
          <w:sz w:val="32"/>
          <w:szCs w:val="32"/>
          <w:shd w:val="clear" w:color="auto" w:fill="FFFFFF"/>
        </w:rPr>
        <w:t>，未经监管机构核实同意，擅自拨付重点监管资金的，应当负责追回资金，无法追回的依法承担相应赔偿责任并依照</w:t>
      </w:r>
      <w:r>
        <w:rPr>
          <w:rFonts w:hint="default" w:ascii="Times New Roman" w:hAnsi="Times New Roman" w:eastAsia="方正仿宋_GBK" w:cs="Times New Roman"/>
          <w:color w:val="000000"/>
          <w:sz w:val="32"/>
          <w:szCs w:val="32"/>
        </w:rPr>
        <w:t>商品房预售资金监管协议</w:t>
      </w:r>
      <w:r>
        <w:rPr>
          <w:rFonts w:hint="default" w:ascii="Times New Roman" w:hAnsi="Times New Roman" w:eastAsia="方正仿宋_GBK" w:cs="Times New Roman"/>
          <w:color w:val="000000"/>
          <w:sz w:val="32"/>
          <w:szCs w:val="32"/>
          <w:shd w:val="clear" w:color="auto" w:fill="FFFFFF"/>
        </w:rPr>
        <w:t>条款进行处理；情节严重的，除承担相应违约责任外，监管部门予以公开通报，并抄送人民银行钦州市中心支行、钦州银保监分局。</w:t>
      </w:r>
    </w:p>
    <w:p>
      <w:pPr>
        <w:pStyle w:val="5"/>
        <w:shd w:val="clear" w:color="auto" w:fill="FFFFFF"/>
        <w:snapToGrid w:val="0"/>
        <w:spacing w:beforeAutospacing="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sz w:val="32"/>
          <w:szCs w:val="32"/>
        </w:rPr>
        <w:t>第三十条</w:t>
      </w:r>
      <w:r>
        <w:rPr>
          <w:rFonts w:hint="default" w:ascii="Times New Roman" w:hAnsi="Times New Roman" w:eastAsia="MS Mincho" w:cs="Times New Roman"/>
          <w:color w:val="000000"/>
          <w:sz w:val="32"/>
          <w:szCs w:val="32"/>
        </w:rPr>
        <w:t> </w:t>
      </w:r>
      <w:r>
        <w:rPr>
          <w:rFonts w:hint="default" w:ascii="Times New Roman" w:hAnsi="Times New Roman" w:eastAsia="方正仿宋_GBK" w:cs="Times New Roman"/>
          <w:sz w:val="32"/>
          <w:szCs w:val="32"/>
          <w:shd w:val="clear" w:color="auto" w:fill="FFFFFF"/>
        </w:rPr>
        <w:t>银行业金融机构有下列情形之一的，从违规事实确认之日起3年内不得在本市开展预售资金监管业务，监管部门不与其签订钦州市商品房预售资金监管合作协议和</w:t>
      </w:r>
      <w:r>
        <w:rPr>
          <w:rFonts w:hint="default" w:ascii="Times New Roman" w:hAnsi="Times New Roman" w:eastAsia="方正仿宋_GBK" w:cs="Times New Roman"/>
          <w:color w:val="000000"/>
          <w:sz w:val="32"/>
          <w:szCs w:val="32"/>
        </w:rPr>
        <w:t>商品房预售资金监管协议</w:t>
      </w:r>
      <w:r>
        <w:rPr>
          <w:rFonts w:hint="default" w:ascii="Times New Roman" w:hAnsi="Times New Roman" w:eastAsia="方正仿宋_GBK" w:cs="Times New Roman"/>
          <w:sz w:val="32"/>
          <w:szCs w:val="32"/>
          <w:shd w:val="clear" w:color="auto" w:fill="FFFFFF"/>
        </w:rPr>
        <w:t>，同时监管部门将其违规事项抄送</w:t>
      </w:r>
      <w:r>
        <w:rPr>
          <w:rFonts w:hint="default" w:ascii="Times New Roman" w:hAnsi="Times New Roman" w:eastAsia="方正仿宋_GBK" w:cs="Times New Roman"/>
          <w:color w:val="000000"/>
          <w:sz w:val="32"/>
          <w:szCs w:val="32"/>
          <w:shd w:val="clear" w:color="auto" w:fill="FFFFFF"/>
        </w:rPr>
        <w:t>人民银行钦州市中心支行、钦州银保监分局</w:t>
      </w:r>
      <w:r>
        <w:rPr>
          <w:rFonts w:hint="default" w:ascii="Times New Roman" w:hAnsi="Times New Roman" w:eastAsia="方正仿宋_GBK" w:cs="Times New Roman"/>
          <w:sz w:val="32"/>
          <w:szCs w:val="32"/>
          <w:shd w:val="clear" w:color="auto" w:fill="FFFFFF"/>
        </w:rPr>
        <w:t>：</w:t>
      </w:r>
    </w:p>
    <w:p>
      <w:pPr>
        <w:pStyle w:val="5"/>
        <w:widowControl w:val="0"/>
        <w:numPr>
          <w:ilvl w:val="0"/>
          <w:numId w:val="3"/>
        </w:numPr>
        <w:shd w:val="clear" w:color="auto" w:fill="FFFFFF"/>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按揭贷款银行未按规定将购房人的按揭贷款、住房公积金贷款发放至预售资金监控账户，且不配合整改的；</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shd w:val="clear" w:color="auto" w:fill="FFFFFF"/>
        </w:rPr>
        <w:t>（二）非监管银行的银行业金融机构接到监管机构等反映房地产开发企业将购房款违规收存至该行账户后，不配合划转或追缴资金至预售资金监控账户的。</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第三十一条 勘察、设计、施工等有关单位提供虚假材料或采取其他方式协助房地产开发企业违规使用商品房预售资金的，由监管部门责令其限期改正，对逾期未整改到位的，视情节按规定从严从重处理；构成犯罪的，依法移交司法机关追究刑事责任。</w:t>
      </w:r>
    </w:p>
    <w:p>
      <w:pPr>
        <w:pStyle w:val="5"/>
        <w:shd w:val="clear" w:color="auto" w:fill="FFFFFF"/>
        <w:spacing w:before="0" w:beforeAutospacing="0" w:after="0" w:afterAutospacing="0" w:line="560" w:lineRule="exact"/>
        <w:ind w:firstLine="645"/>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第三十二条 相关部门及银行工作人员在预售资金监管、预售资金收存、使用过程中，滥用职权、玩忽职守、徇私舞弊、泄露工作秘密的，依法给予处理，依法移交司法机关追究刑事责任。</w:t>
      </w:r>
    </w:p>
    <w:p>
      <w:pPr>
        <w:spacing w:line="560" w:lineRule="exact"/>
        <w:rPr>
          <w:rFonts w:hint="default" w:ascii="Times New Roman" w:hAnsi="Times New Roman" w:eastAsia="方正仿宋_GBK" w:cs="Times New Roman"/>
          <w:color w:val="000000"/>
          <w:sz w:val="32"/>
          <w:szCs w:val="32"/>
        </w:rPr>
      </w:pPr>
    </w:p>
    <w:p>
      <w:pPr>
        <w:spacing w:line="560" w:lineRule="exac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第六章 附则</w:t>
      </w:r>
    </w:p>
    <w:p>
      <w:pPr>
        <w:spacing w:line="560" w:lineRule="exact"/>
        <w:rPr>
          <w:rFonts w:hint="default" w:ascii="Times New Roman" w:hAnsi="Times New Roman" w:eastAsia="方正仿宋_GBK" w:cs="Times New Roman"/>
          <w:color w:val="000000"/>
          <w:sz w:val="32"/>
          <w:szCs w:val="32"/>
        </w:rPr>
      </w:pP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第三十三条 本细则具体适用中的问题，由市住房城乡建设局与人民银行钦州市中心支行、钦州银保监分局负责解释。　　</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第三十四条 灵山县、浦北县商品房预售资金的收存、使用和监督管理，可参照本细则执行。　　</w:t>
      </w: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第三十五条 本细则自2023年 月 日起施行。《钦州市商品房预售资金监管办法》（钦政办规〔2019〕4号）同时废止。本市以前出台的规定与本细则规定不一致的，以本细则为准。执行期间，国家、自治区出台新的规定的，则按新规定执行。</w:t>
      </w:r>
    </w:p>
    <w:p>
      <w:pPr>
        <w:spacing w:line="560" w:lineRule="exact"/>
        <w:rPr>
          <w:rFonts w:hint="default" w:ascii="Times New Roman" w:hAnsi="Times New Roman" w:eastAsia="方正仿宋_GBK" w:cs="Times New Roman"/>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1B17C3"/>
    <w:multiLevelType w:val="singleLevel"/>
    <w:tmpl w:val="BB1B17C3"/>
    <w:lvl w:ilvl="0" w:tentative="0">
      <w:start w:val="1"/>
      <w:numFmt w:val="chineseCounting"/>
      <w:suff w:val="nothing"/>
      <w:lvlText w:val="（%1）"/>
      <w:lvlJc w:val="left"/>
      <w:rPr>
        <w:rFonts w:hint="eastAsia"/>
      </w:rPr>
    </w:lvl>
  </w:abstractNum>
  <w:abstractNum w:abstractNumId="1">
    <w:nsid w:val="496C71DD"/>
    <w:multiLevelType w:val="multilevel"/>
    <w:tmpl w:val="496C71DD"/>
    <w:lvl w:ilvl="0" w:tentative="0">
      <w:start w:val="1"/>
      <w:numFmt w:val="japaneseCounting"/>
      <w:lvlText w:val="（%1）"/>
      <w:lvlJc w:val="left"/>
      <w:pPr>
        <w:ind w:left="1710" w:hanging="108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72A60955"/>
    <w:multiLevelType w:val="multilevel"/>
    <w:tmpl w:val="72A60955"/>
    <w:lvl w:ilvl="0" w:tentative="0">
      <w:start w:val="5"/>
      <w:numFmt w:val="japaneseCounting"/>
      <w:lvlText w:val="第%1章"/>
      <w:lvlJc w:val="left"/>
      <w:pPr>
        <w:ind w:left="2160" w:hanging="108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MDJiMzQ2YTc5NDQ2YzkwOWNiMjg3YmViYjVhNDgifQ=="/>
  </w:docVars>
  <w:rsids>
    <w:rsidRoot w:val="00522830"/>
    <w:rsid w:val="000126CF"/>
    <w:rsid w:val="00053C6D"/>
    <w:rsid w:val="000566D7"/>
    <w:rsid w:val="000678AF"/>
    <w:rsid w:val="000709A3"/>
    <w:rsid w:val="000751D4"/>
    <w:rsid w:val="00075427"/>
    <w:rsid w:val="00075B87"/>
    <w:rsid w:val="0008613C"/>
    <w:rsid w:val="00087FDF"/>
    <w:rsid w:val="00094B90"/>
    <w:rsid w:val="00095142"/>
    <w:rsid w:val="000953CB"/>
    <w:rsid w:val="000B60AD"/>
    <w:rsid w:val="000C2AB0"/>
    <w:rsid w:val="000C68D1"/>
    <w:rsid w:val="000D0AE5"/>
    <w:rsid w:val="000D35A1"/>
    <w:rsid w:val="000D5CC9"/>
    <w:rsid w:val="000D7CDE"/>
    <w:rsid w:val="000E5801"/>
    <w:rsid w:val="001178A7"/>
    <w:rsid w:val="00121E42"/>
    <w:rsid w:val="00136F93"/>
    <w:rsid w:val="00144858"/>
    <w:rsid w:val="00153AA9"/>
    <w:rsid w:val="001566A2"/>
    <w:rsid w:val="00163647"/>
    <w:rsid w:val="00171A53"/>
    <w:rsid w:val="00172DF8"/>
    <w:rsid w:val="00175932"/>
    <w:rsid w:val="00176160"/>
    <w:rsid w:val="00181555"/>
    <w:rsid w:val="0019194A"/>
    <w:rsid w:val="001A136E"/>
    <w:rsid w:val="001A5163"/>
    <w:rsid w:val="001B1B5D"/>
    <w:rsid w:val="001B50BE"/>
    <w:rsid w:val="001B5B60"/>
    <w:rsid w:val="001C4DA5"/>
    <w:rsid w:val="001D3C65"/>
    <w:rsid w:val="001D49FE"/>
    <w:rsid w:val="001E7075"/>
    <w:rsid w:val="001F3CF3"/>
    <w:rsid w:val="002122DB"/>
    <w:rsid w:val="00212CBD"/>
    <w:rsid w:val="00213BFC"/>
    <w:rsid w:val="0021575C"/>
    <w:rsid w:val="00217708"/>
    <w:rsid w:val="002233FD"/>
    <w:rsid w:val="00223CDB"/>
    <w:rsid w:val="00226333"/>
    <w:rsid w:val="00234ECE"/>
    <w:rsid w:val="00242B2F"/>
    <w:rsid w:val="00245E31"/>
    <w:rsid w:val="0025214F"/>
    <w:rsid w:val="0025602C"/>
    <w:rsid w:val="00260946"/>
    <w:rsid w:val="00265C0A"/>
    <w:rsid w:val="00270164"/>
    <w:rsid w:val="00287150"/>
    <w:rsid w:val="00297169"/>
    <w:rsid w:val="002A74F1"/>
    <w:rsid w:val="002B52F3"/>
    <w:rsid w:val="002C07B2"/>
    <w:rsid w:val="002C0B03"/>
    <w:rsid w:val="002C156B"/>
    <w:rsid w:val="002D7850"/>
    <w:rsid w:val="002E063B"/>
    <w:rsid w:val="002E0DC4"/>
    <w:rsid w:val="002E7698"/>
    <w:rsid w:val="00304432"/>
    <w:rsid w:val="00312C24"/>
    <w:rsid w:val="00322CC1"/>
    <w:rsid w:val="00323E1E"/>
    <w:rsid w:val="00334D18"/>
    <w:rsid w:val="00340771"/>
    <w:rsid w:val="00343402"/>
    <w:rsid w:val="003469D7"/>
    <w:rsid w:val="003470A2"/>
    <w:rsid w:val="0036725D"/>
    <w:rsid w:val="00370C55"/>
    <w:rsid w:val="00373EAF"/>
    <w:rsid w:val="00375BDE"/>
    <w:rsid w:val="00375C8D"/>
    <w:rsid w:val="00381CFD"/>
    <w:rsid w:val="0038310E"/>
    <w:rsid w:val="003A1899"/>
    <w:rsid w:val="003A4FA4"/>
    <w:rsid w:val="003A5E27"/>
    <w:rsid w:val="003B07B5"/>
    <w:rsid w:val="003B230D"/>
    <w:rsid w:val="003B497D"/>
    <w:rsid w:val="003C5184"/>
    <w:rsid w:val="003D796D"/>
    <w:rsid w:val="003E4E15"/>
    <w:rsid w:val="003F2760"/>
    <w:rsid w:val="004140BB"/>
    <w:rsid w:val="00421D34"/>
    <w:rsid w:val="00435269"/>
    <w:rsid w:val="004360F5"/>
    <w:rsid w:val="00437D48"/>
    <w:rsid w:val="00442B50"/>
    <w:rsid w:val="00443322"/>
    <w:rsid w:val="004510DC"/>
    <w:rsid w:val="004616C6"/>
    <w:rsid w:val="00465384"/>
    <w:rsid w:val="00493AE3"/>
    <w:rsid w:val="004B083F"/>
    <w:rsid w:val="004B1A5C"/>
    <w:rsid w:val="004C31B8"/>
    <w:rsid w:val="004C7AA0"/>
    <w:rsid w:val="004D069F"/>
    <w:rsid w:val="004E7E44"/>
    <w:rsid w:val="004F31A3"/>
    <w:rsid w:val="004F5C4C"/>
    <w:rsid w:val="00507747"/>
    <w:rsid w:val="0051574D"/>
    <w:rsid w:val="00522830"/>
    <w:rsid w:val="005241A9"/>
    <w:rsid w:val="00524AC6"/>
    <w:rsid w:val="00533EC7"/>
    <w:rsid w:val="00541B5E"/>
    <w:rsid w:val="00562E63"/>
    <w:rsid w:val="00575D19"/>
    <w:rsid w:val="005912FD"/>
    <w:rsid w:val="005934EF"/>
    <w:rsid w:val="0059525A"/>
    <w:rsid w:val="00596582"/>
    <w:rsid w:val="005966A4"/>
    <w:rsid w:val="00602B3B"/>
    <w:rsid w:val="006137B8"/>
    <w:rsid w:val="00613E59"/>
    <w:rsid w:val="00627D18"/>
    <w:rsid w:val="00631C4A"/>
    <w:rsid w:val="00640CA6"/>
    <w:rsid w:val="00652957"/>
    <w:rsid w:val="006547A0"/>
    <w:rsid w:val="00655768"/>
    <w:rsid w:val="00657118"/>
    <w:rsid w:val="006635D1"/>
    <w:rsid w:val="00663DA7"/>
    <w:rsid w:val="00676710"/>
    <w:rsid w:val="00681975"/>
    <w:rsid w:val="00694CDB"/>
    <w:rsid w:val="0069714E"/>
    <w:rsid w:val="006A63DE"/>
    <w:rsid w:val="006B660D"/>
    <w:rsid w:val="006F19BB"/>
    <w:rsid w:val="0070432D"/>
    <w:rsid w:val="007109F8"/>
    <w:rsid w:val="00710CC9"/>
    <w:rsid w:val="00714DF6"/>
    <w:rsid w:val="007247D6"/>
    <w:rsid w:val="00724D60"/>
    <w:rsid w:val="00733A45"/>
    <w:rsid w:val="0074294A"/>
    <w:rsid w:val="00751F25"/>
    <w:rsid w:val="00767616"/>
    <w:rsid w:val="0078758E"/>
    <w:rsid w:val="00797D81"/>
    <w:rsid w:val="007A52CC"/>
    <w:rsid w:val="007B14AC"/>
    <w:rsid w:val="007C07AF"/>
    <w:rsid w:val="007C462D"/>
    <w:rsid w:val="007E59F0"/>
    <w:rsid w:val="007F6BB4"/>
    <w:rsid w:val="007F7DA5"/>
    <w:rsid w:val="0080343C"/>
    <w:rsid w:val="00806361"/>
    <w:rsid w:val="00816169"/>
    <w:rsid w:val="008173A0"/>
    <w:rsid w:val="0082791A"/>
    <w:rsid w:val="00833B0C"/>
    <w:rsid w:val="008374D9"/>
    <w:rsid w:val="00840574"/>
    <w:rsid w:val="00841D08"/>
    <w:rsid w:val="008422DE"/>
    <w:rsid w:val="00853DD8"/>
    <w:rsid w:val="00861172"/>
    <w:rsid w:val="0086233B"/>
    <w:rsid w:val="00886A75"/>
    <w:rsid w:val="00886F03"/>
    <w:rsid w:val="00891437"/>
    <w:rsid w:val="00897D27"/>
    <w:rsid w:val="008B6889"/>
    <w:rsid w:val="008D3E9D"/>
    <w:rsid w:val="008D7685"/>
    <w:rsid w:val="008F09B5"/>
    <w:rsid w:val="008F622A"/>
    <w:rsid w:val="009049E4"/>
    <w:rsid w:val="009057E1"/>
    <w:rsid w:val="00915C6C"/>
    <w:rsid w:val="00915CE9"/>
    <w:rsid w:val="009174FE"/>
    <w:rsid w:val="00921E71"/>
    <w:rsid w:val="0092774B"/>
    <w:rsid w:val="00941D7D"/>
    <w:rsid w:val="009526D4"/>
    <w:rsid w:val="00954EF3"/>
    <w:rsid w:val="00956ADC"/>
    <w:rsid w:val="00966119"/>
    <w:rsid w:val="009738F7"/>
    <w:rsid w:val="00977774"/>
    <w:rsid w:val="00982EDD"/>
    <w:rsid w:val="00991A2F"/>
    <w:rsid w:val="00993660"/>
    <w:rsid w:val="00995863"/>
    <w:rsid w:val="009A5FAB"/>
    <w:rsid w:val="009B2DD5"/>
    <w:rsid w:val="009B31D3"/>
    <w:rsid w:val="009B37A6"/>
    <w:rsid w:val="009C1701"/>
    <w:rsid w:val="009D6D51"/>
    <w:rsid w:val="009E7102"/>
    <w:rsid w:val="009F0007"/>
    <w:rsid w:val="009F0971"/>
    <w:rsid w:val="00A017BE"/>
    <w:rsid w:val="00A031C4"/>
    <w:rsid w:val="00A044F3"/>
    <w:rsid w:val="00A072D8"/>
    <w:rsid w:val="00A076F4"/>
    <w:rsid w:val="00A12E9D"/>
    <w:rsid w:val="00A219DB"/>
    <w:rsid w:val="00A2382C"/>
    <w:rsid w:val="00A31C9C"/>
    <w:rsid w:val="00A3210F"/>
    <w:rsid w:val="00A571F4"/>
    <w:rsid w:val="00A619DE"/>
    <w:rsid w:val="00A61C04"/>
    <w:rsid w:val="00A67CBE"/>
    <w:rsid w:val="00A85EEE"/>
    <w:rsid w:val="00A903AC"/>
    <w:rsid w:val="00AC31BC"/>
    <w:rsid w:val="00AD5036"/>
    <w:rsid w:val="00AE06E6"/>
    <w:rsid w:val="00AE2847"/>
    <w:rsid w:val="00AF62F6"/>
    <w:rsid w:val="00B05B7A"/>
    <w:rsid w:val="00B06D72"/>
    <w:rsid w:val="00B16062"/>
    <w:rsid w:val="00B253D4"/>
    <w:rsid w:val="00B3147A"/>
    <w:rsid w:val="00B57072"/>
    <w:rsid w:val="00B6771C"/>
    <w:rsid w:val="00B7555E"/>
    <w:rsid w:val="00B80B3F"/>
    <w:rsid w:val="00B82BF3"/>
    <w:rsid w:val="00B83FF9"/>
    <w:rsid w:val="00B857BC"/>
    <w:rsid w:val="00B907B4"/>
    <w:rsid w:val="00BA7817"/>
    <w:rsid w:val="00BB5988"/>
    <w:rsid w:val="00BC6165"/>
    <w:rsid w:val="00BE1F79"/>
    <w:rsid w:val="00BF37E2"/>
    <w:rsid w:val="00BF6BCD"/>
    <w:rsid w:val="00C063F4"/>
    <w:rsid w:val="00C158FD"/>
    <w:rsid w:val="00C2129E"/>
    <w:rsid w:val="00C21987"/>
    <w:rsid w:val="00C22AB3"/>
    <w:rsid w:val="00C321B5"/>
    <w:rsid w:val="00C3232D"/>
    <w:rsid w:val="00C3344B"/>
    <w:rsid w:val="00C427C9"/>
    <w:rsid w:val="00C64B5A"/>
    <w:rsid w:val="00C64F62"/>
    <w:rsid w:val="00C67164"/>
    <w:rsid w:val="00C7259F"/>
    <w:rsid w:val="00C75A52"/>
    <w:rsid w:val="00C84E26"/>
    <w:rsid w:val="00C85D9D"/>
    <w:rsid w:val="00CA304E"/>
    <w:rsid w:val="00CA66C0"/>
    <w:rsid w:val="00CB13B3"/>
    <w:rsid w:val="00CB26E5"/>
    <w:rsid w:val="00CC6CFA"/>
    <w:rsid w:val="00CD4BA1"/>
    <w:rsid w:val="00CF01BB"/>
    <w:rsid w:val="00CF3978"/>
    <w:rsid w:val="00D00A57"/>
    <w:rsid w:val="00D02679"/>
    <w:rsid w:val="00D13E93"/>
    <w:rsid w:val="00D213E1"/>
    <w:rsid w:val="00D31679"/>
    <w:rsid w:val="00D32A81"/>
    <w:rsid w:val="00D3657F"/>
    <w:rsid w:val="00D526C9"/>
    <w:rsid w:val="00D53AAF"/>
    <w:rsid w:val="00D64FDE"/>
    <w:rsid w:val="00D74EE2"/>
    <w:rsid w:val="00D768D1"/>
    <w:rsid w:val="00D76C6E"/>
    <w:rsid w:val="00D90EB7"/>
    <w:rsid w:val="00D92928"/>
    <w:rsid w:val="00DA1079"/>
    <w:rsid w:val="00DA4621"/>
    <w:rsid w:val="00DA62E7"/>
    <w:rsid w:val="00DA6AF8"/>
    <w:rsid w:val="00DB0571"/>
    <w:rsid w:val="00DB6593"/>
    <w:rsid w:val="00DC0951"/>
    <w:rsid w:val="00E00566"/>
    <w:rsid w:val="00E0387B"/>
    <w:rsid w:val="00E12531"/>
    <w:rsid w:val="00E22966"/>
    <w:rsid w:val="00E33C1C"/>
    <w:rsid w:val="00E34662"/>
    <w:rsid w:val="00E34EF6"/>
    <w:rsid w:val="00E36DA7"/>
    <w:rsid w:val="00E546D2"/>
    <w:rsid w:val="00E67A45"/>
    <w:rsid w:val="00E70F3A"/>
    <w:rsid w:val="00E7666C"/>
    <w:rsid w:val="00E86270"/>
    <w:rsid w:val="00EA4124"/>
    <w:rsid w:val="00EB18CE"/>
    <w:rsid w:val="00EB1A2B"/>
    <w:rsid w:val="00EC3630"/>
    <w:rsid w:val="00ED006B"/>
    <w:rsid w:val="00ED5E70"/>
    <w:rsid w:val="00ED79CE"/>
    <w:rsid w:val="00EE2679"/>
    <w:rsid w:val="00EF1C26"/>
    <w:rsid w:val="00F13DA8"/>
    <w:rsid w:val="00F14955"/>
    <w:rsid w:val="00F173BA"/>
    <w:rsid w:val="00F21243"/>
    <w:rsid w:val="00F253CD"/>
    <w:rsid w:val="00F277A0"/>
    <w:rsid w:val="00F308E3"/>
    <w:rsid w:val="00F5146F"/>
    <w:rsid w:val="00F63DA8"/>
    <w:rsid w:val="00F7192A"/>
    <w:rsid w:val="00F71F5F"/>
    <w:rsid w:val="00F77140"/>
    <w:rsid w:val="00F90112"/>
    <w:rsid w:val="00FA3899"/>
    <w:rsid w:val="00FB04DA"/>
    <w:rsid w:val="00FB2793"/>
    <w:rsid w:val="00FB30CA"/>
    <w:rsid w:val="00FB4F7E"/>
    <w:rsid w:val="00FC7868"/>
    <w:rsid w:val="00FD2C55"/>
    <w:rsid w:val="00FE6D97"/>
    <w:rsid w:val="08CD79A2"/>
    <w:rsid w:val="0B27438E"/>
    <w:rsid w:val="0F5D446F"/>
    <w:rsid w:val="13F5320A"/>
    <w:rsid w:val="158D75F3"/>
    <w:rsid w:val="20C15580"/>
    <w:rsid w:val="3E36075F"/>
    <w:rsid w:val="4E231C27"/>
    <w:rsid w:val="5D1E6BF5"/>
    <w:rsid w:val="61F37E6F"/>
    <w:rsid w:val="740F4731"/>
    <w:rsid w:val="7E285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1049</Words>
  <Characters>5984</Characters>
  <Lines>49</Lines>
  <Paragraphs>14</Paragraphs>
  <TotalTime>18</TotalTime>
  <ScaleCrop>false</ScaleCrop>
  <LinksUpToDate>false</LinksUpToDate>
  <CharactersWithSpaces>7019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2023-04-28T10:20:00Z</dcterms:created>
  <dc:creator>Sky123.Org</dc:creator>
  <cp:lastModifiedBy>WPS_1658825168</cp:lastModifiedBy>
  <cp:lastPrinted>2022-09-06T01:52:00Z</cp:lastPrinted>
  <dcterms:modified xsi:type="dcterms:W3CDTF">2023-05-11T08:36:10Z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EC0193CA03A845E3B0C7A699E05CE9A0</vt:lpwstr>
  </property>
</Properties>
</file>