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2025年上半年钦州市民用建筑各类工程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单方造价参考指标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415" w:type="dxa"/>
        <w:jc w:val="center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13"/>
        <w:gridCol w:w="2116"/>
        <w:gridCol w:w="3731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层数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单方造价（元/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住宅楼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十九~三十层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2344</w:t>
            </w:r>
            <w:r>
              <w:rPr>
                <w:rFonts w:hint="eastAsia"/>
                <w:sz w:val="21"/>
                <w:szCs w:val="21"/>
              </w:rPr>
              <w:t>（其中：建筑主体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1568</w:t>
            </w:r>
            <w:r>
              <w:rPr>
                <w:rFonts w:hint="eastAsia"/>
                <w:sz w:val="21"/>
                <w:szCs w:val="21"/>
              </w:rPr>
              <w:t>；装饰装修及水电安装等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776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十二~十八层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1907</w:t>
            </w:r>
            <w:r>
              <w:rPr>
                <w:rFonts w:hint="eastAsia"/>
                <w:sz w:val="21"/>
                <w:szCs w:val="21"/>
              </w:rPr>
              <w:t>（其中：建筑主体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1276</w:t>
            </w:r>
            <w:r>
              <w:rPr>
                <w:rFonts w:hint="eastAsia"/>
                <w:sz w:val="21"/>
                <w:szCs w:val="21"/>
              </w:rPr>
              <w:t>；装饰装修及水电安装等6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七~十一层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543</w:t>
            </w:r>
            <w:r>
              <w:rPr>
                <w:rFonts w:hint="eastAsia"/>
                <w:sz w:val="21"/>
                <w:szCs w:val="21"/>
              </w:rPr>
              <w:t>（其中：建筑主体10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/>
                <w:sz w:val="21"/>
                <w:szCs w:val="21"/>
              </w:rPr>
              <w:t>；装饰装修及水电安装等5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六层以下（含六层）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347</w:t>
            </w:r>
            <w:r>
              <w:rPr>
                <w:rFonts w:hint="eastAsia"/>
                <w:sz w:val="21"/>
                <w:szCs w:val="21"/>
              </w:rPr>
              <w:t>（其中：建筑主体9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sz w:val="21"/>
                <w:szCs w:val="21"/>
              </w:rPr>
              <w:t>；装饰装修及水电安装等4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商住楼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十九~三十层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534</w:t>
            </w:r>
            <w:r>
              <w:rPr>
                <w:rFonts w:hint="eastAsia"/>
                <w:sz w:val="21"/>
                <w:szCs w:val="21"/>
              </w:rPr>
              <w:t>（其中：建筑主体1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694</w:t>
            </w:r>
            <w:r>
              <w:rPr>
                <w:rFonts w:hint="eastAsia"/>
                <w:sz w:val="21"/>
                <w:szCs w:val="21"/>
              </w:rPr>
              <w:t>；装饰装修及水电安装等8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十二~十八层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036</w:t>
            </w:r>
            <w:r>
              <w:rPr>
                <w:rFonts w:hint="eastAsia"/>
                <w:sz w:val="21"/>
                <w:szCs w:val="21"/>
              </w:rPr>
              <w:t>（其中：建筑主体1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363</w:t>
            </w:r>
            <w:r>
              <w:rPr>
                <w:rFonts w:hint="eastAsia"/>
                <w:sz w:val="21"/>
                <w:szCs w:val="21"/>
              </w:rPr>
              <w:t>；装饰装修及水电安装等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673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七~十一层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644</w:t>
            </w:r>
            <w:r>
              <w:rPr>
                <w:rFonts w:hint="eastAsia"/>
                <w:sz w:val="21"/>
                <w:szCs w:val="21"/>
              </w:rPr>
              <w:t>（其中：建筑主体11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</w:rPr>
              <w:t>；装饰装修及水电安装等5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六层以下（含六层）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sz w:val="21"/>
                <w:szCs w:val="21"/>
              </w:rPr>
              <w:t>（其中：建筑主体9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/>
                <w:sz w:val="21"/>
                <w:szCs w:val="21"/>
              </w:rPr>
              <w:t>；装饰装修及水电安装等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465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综合楼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十九~三十层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223</w:t>
            </w:r>
            <w:r>
              <w:rPr>
                <w:rFonts w:hint="eastAsia"/>
                <w:sz w:val="21"/>
                <w:szCs w:val="21"/>
              </w:rPr>
              <w:t>（其中：建筑主体1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514</w:t>
            </w:r>
            <w:r>
              <w:rPr>
                <w:rFonts w:hint="eastAsia"/>
                <w:sz w:val="21"/>
                <w:szCs w:val="21"/>
              </w:rPr>
              <w:t>；装饰装修及水电安装等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1709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十二~十八层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734</w:t>
            </w:r>
            <w:r>
              <w:rPr>
                <w:rFonts w:hint="eastAsia"/>
                <w:sz w:val="21"/>
                <w:szCs w:val="21"/>
              </w:rPr>
              <w:t>（其中：建筑主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1284</w:t>
            </w:r>
            <w:r>
              <w:rPr>
                <w:rFonts w:hint="eastAsia"/>
                <w:sz w:val="21"/>
                <w:szCs w:val="21"/>
              </w:rPr>
              <w:t>；装饰装修及水电安装等1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450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七~十一层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008</w:t>
            </w:r>
            <w:r>
              <w:rPr>
                <w:rFonts w:hint="eastAsia"/>
                <w:sz w:val="21"/>
                <w:szCs w:val="21"/>
              </w:rPr>
              <w:t>（其中：建筑主体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943</w:t>
            </w:r>
            <w:r>
              <w:rPr>
                <w:rFonts w:hint="eastAsia"/>
                <w:sz w:val="21"/>
                <w:szCs w:val="21"/>
              </w:rPr>
              <w:t>；装饰装修及水电安装等1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065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六层以下（含六层）</w:t>
            </w: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584</w:t>
            </w:r>
            <w:r>
              <w:rPr>
                <w:rFonts w:hint="eastAsia"/>
                <w:sz w:val="21"/>
                <w:szCs w:val="21"/>
              </w:rPr>
              <w:t>（其中：建筑主体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747</w:t>
            </w:r>
            <w:r>
              <w:rPr>
                <w:rFonts w:hint="eastAsia"/>
                <w:sz w:val="21"/>
                <w:szCs w:val="21"/>
              </w:rPr>
              <w:t>；装饰装修及水电安装等8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厂房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（其中：建筑主体9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sz w:val="21"/>
                <w:szCs w:val="21"/>
              </w:rPr>
              <w:t>；装饰装修及水电安装等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498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红砖墙瓦屋面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789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红砖墙石棉瓦屋面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639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钢柱彩钢瓦屋面铁棚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一、工程概况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1.住宅楼、商住楼：基础为桩基础，框架、框剪结构，外墙涂料，楼梯公共部分玻化砖地面，墙面水泥砂浆底、腻子面层，户内墙面、天棚抹混合砂浆，入户防盗门，铝合金推拉窗，水电到户。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2.办公或综合楼：基础为桩基础，框架、框剪结构，外墙涂料，楼梯公共部分玻化砖地面，其余为抛光砖地面，墙面水泥砂浆底、涂料面层，实木门，铝合金推拉窗，安装好水电。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3.厂房：基础为桩基础，框架、框剪结构，外墙涂料，玻化砖地面，墙面水泥砂浆底、腻子面层，钢质防火门，铝合金推拉窗，安装好水电。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4.临时建筑：为普通装饰，未含水电安装。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二、计价依据：2013年《广西壮族自治区建筑装饰装修工程消耗量定额》《广西壮族自治区建设工程费用定额》、2015年《广西壮族自治区安装工程消耗量定额》《钦州市建设工程造价信息》等有关文件资料。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三、 此建筑工程单方造价是按以上计价依据计算，为建安工程造价，未经市场竞争的价格。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四、此单方造价仅是建筑个案，由于施工图纸设计、结构类型、施工现场、施工管理及建材市场等因素的差异，会产生单方造价的不同。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宋体" w:hAnsi="宋体" w:eastAsia="宋体" w:cs="宋体"/>
        </w:rPr>
        <w:t xml:space="preserve">    五、住宅楼及商住楼六层以下（含六层）砖混结构单方造价约低8% ~ 12%。</w:t>
      </w:r>
    </w:p>
    <w:p>
      <w:pPr>
        <w:pStyle w:val="2"/>
      </w:pPr>
    </w:p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CBD55-25DC-4F74-AC36-F2BFCF13F8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B6164F-3FB5-4AC8-99E6-0CB7C6D6128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011A54-961A-4065-AB22-BE7AC8A331AF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AEE12FDC-72BC-45D6-A600-60EA35C29E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75D1F"/>
    <w:rsid w:val="1FD15B56"/>
    <w:rsid w:val="27595274"/>
    <w:rsid w:val="34275874"/>
    <w:rsid w:val="3A250F74"/>
    <w:rsid w:val="5EE75D1F"/>
    <w:rsid w:val="7A9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Autospacing="0" w:afterAutospacing="0" w:line="520" w:lineRule="atLeast"/>
      <w:outlineLvl w:val="2"/>
    </w:pPr>
    <w:rPr>
      <w:rFonts w:ascii="Times New Roman" w:hAnsi="Times New Roman" w:eastAsia="方正楷体_GBK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2025-11-24T03:17:00Z</dcterms:created>
  <dc:creator>果仔</dc:creator>
  <cp:lastModifiedBy>Administrator</cp:lastModifiedBy>
  <cp:lastPrinted>2025-11-24T03:59:00Z</cp:lastPrinted>
  <dcterms:modified xsi:type="dcterms:W3CDTF">2025-11-25T00:47:34Z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B4AF4DBCAA8F449AA34CAE3DF237EA1A_11</vt:lpwstr>
  </property>
  <property fmtid="{D5CDD505-2E9C-101B-9397-08002B2CF9AE}" pid="4" name="KSOTemplateDocerSaveRecord">
    <vt:lpwstr>eyJoZGlkIjoiZWFhNjc5YWE2NDc1N2M5ZWE3Yzk2NjI4NzYxZTI5NTEiLCJ1c2VySWQiOiIxMTY2Mzg2NzA5In0=</vt:lpwstr>
  </property>
</Properties>
</file>