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hint="default" w:ascii="Times New Roman" w:hAnsi="Times New Roman" w:eastAsia="方正小标宋_GBK" w:cs="Times New Roman"/>
          <w:color w:val="FF0000"/>
          <w:spacing w:val="160"/>
          <w:sz w:val="72"/>
          <w:szCs w:val="72"/>
        </w:rPr>
      </w:pPr>
      <w:r>
        <w:rPr>
          <w:rFonts w:hint="default" w:ascii="Times New Roman" w:hAnsi="Times New Roman" w:eastAsia="方正小标宋_GBK" w:cs="Times New Roman"/>
          <w:color w:val="FF0000"/>
          <w:spacing w:val="160"/>
          <w:sz w:val="72"/>
          <w:szCs w:val="72"/>
        </w:rPr>
        <w:t>钦州市</w:t>
      </w:r>
    </w:p>
    <w:p>
      <w:pPr>
        <w:spacing w:line="1100" w:lineRule="exact"/>
        <w:jc w:val="distribute"/>
        <w:rPr>
          <w:rFonts w:hint="default" w:ascii="Times New Roman" w:hAnsi="Times New Roman" w:eastAsia="方正小标宋_GBK" w:cs="Times New Roman"/>
          <w:color w:val="FF0000"/>
          <w:spacing w:val="160"/>
          <w:sz w:val="72"/>
          <w:szCs w:val="72"/>
        </w:rPr>
      </w:pPr>
      <w:r>
        <w:rPr>
          <w:rFonts w:hint="default" w:ascii="Times New Roman" w:hAnsi="Times New Roman" w:eastAsia="方正小标宋_GBK" w:cs="Times New Roman"/>
          <w:color w:val="FF0000"/>
          <w:sz w:val="72"/>
          <w:szCs w:val="72"/>
        </w:rPr>
        <w:t>住房和城乡建设局文件</w:t>
      </w:r>
    </w:p>
    <w:p>
      <w:pPr>
        <w:spacing w:line="360" w:lineRule="exact"/>
        <w:jc w:val="center"/>
        <w:rPr>
          <w:rFonts w:hint="default" w:ascii="Times New Roman" w:hAnsi="Times New Roman" w:eastAsia="方正大标宋简体" w:cs="Times New Roman"/>
          <w:sz w:val="24"/>
          <w:szCs w:val="32"/>
        </w:rPr>
      </w:pPr>
    </w:p>
    <w:p>
      <w:pPr>
        <w:spacing w:line="360" w:lineRule="exact"/>
        <w:jc w:val="center"/>
        <w:rPr>
          <w:rFonts w:hint="default" w:ascii="Times New Roman" w:hAnsi="Times New Roman" w:eastAsia="方正大标宋简体" w:cs="Times New Roman"/>
          <w:sz w:val="24"/>
          <w:szCs w:val="32"/>
        </w:rPr>
      </w:pPr>
    </w:p>
    <w:p>
      <w:pPr>
        <w:pBdr>
          <w:bottom w:val="single" w:color="FF0000" w:sz="18" w:space="0"/>
        </w:pBdr>
        <w:spacing w:line="480" w:lineRule="exact"/>
        <w:jc w:val="center"/>
        <w:rPr>
          <w:rFonts w:hint="default" w:ascii="Times New Roman" w:hAnsi="Times New Roman" w:eastAsia="方正仿宋_GBK" w:cs="Times New Roman"/>
          <w:sz w:val="32"/>
          <w:szCs w:val="32"/>
        </w:rPr>
      </w:pPr>
      <w:bookmarkStart w:id="0" w:name="_GoBack"/>
      <w:r>
        <w:rPr>
          <w:rFonts w:hint="default" w:ascii="Times New Roman" w:hAnsi="Times New Roman" w:eastAsia="方正仿宋_GBK" w:cs="Times New Roman"/>
          <w:sz w:val="32"/>
          <w:szCs w:val="32"/>
        </w:rPr>
        <w:t>钦市建房〔202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号</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pacing w:val="-1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宋体" w:cs="Times New Roman"/>
        </w:rPr>
      </w:pPr>
    </w:p>
    <w:p>
      <w:pPr>
        <w:spacing w:line="56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钦州市住房和城乡建设局关于调整商品房</w:t>
      </w:r>
    </w:p>
    <w:p>
      <w:pPr>
        <w:spacing w:line="56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预售资金重点监管额度的通知</w:t>
      </w:r>
    </w:p>
    <w:p>
      <w:pPr>
        <w:spacing w:line="560" w:lineRule="exact"/>
        <w:rPr>
          <w:rFonts w:hint="default" w:ascii="Times New Roman" w:hAnsi="Times New Roman" w:eastAsia="方正仿宋_GBK" w:cs="Times New Roman"/>
          <w:color w:val="000000"/>
          <w:sz w:val="32"/>
          <w:szCs w:val="32"/>
        </w:rPr>
      </w:pPr>
    </w:p>
    <w:p>
      <w:pPr>
        <w:spacing w:line="56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各房地产开发企业：</w:t>
      </w:r>
    </w:p>
    <w:p>
      <w:pPr>
        <w:spacing w:line="560" w:lineRule="exact"/>
        <w:ind w:firstLine="664"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根据《自治区住房城乡建设厅 人民银行南宁中心支行 广西银保监局 自治区地方金融监管局关于印发进一步加强广西商品房预售资金监管工作实施意见的通知》（桂建房〔2022〕5号）和《钦州市商品房预售资金监管办法》（钦政办规〔2019〕4号）有关规定，为进一步加强我市商品房预售资金监管，保障房地产项目竣工交付，现就调整商品房预售资金重点监管额度通知如下：</w:t>
      </w:r>
    </w:p>
    <w:p>
      <w:pPr>
        <w:spacing w:line="560" w:lineRule="exact"/>
        <w:ind w:firstLine="664" w:firstLineChars="200"/>
        <w:rPr>
          <w:rFonts w:hint="default" w:ascii="Times New Roman" w:hAnsi="Times New Roman" w:eastAsia="方正仿宋_GBK" w:cs="Times New Roman"/>
          <w:b/>
          <w:color w:val="000000"/>
          <w:spacing w:val="6"/>
          <w:sz w:val="32"/>
          <w:szCs w:val="32"/>
        </w:rPr>
      </w:pPr>
      <w:r>
        <w:rPr>
          <w:rFonts w:hint="default" w:ascii="Times New Roman" w:hAnsi="Times New Roman" w:eastAsia="方正仿宋_GBK" w:cs="Times New Roman"/>
          <w:color w:val="000000"/>
          <w:spacing w:val="6"/>
          <w:sz w:val="32"/>
          <w:szCs w:val="32"/>
        </w:rPr>
        <w:t>一、重点监管额度不得低于工程建设预算总额（包括建筑安装和配套建设等费用）的110%，且每平方米不得低于2022年11月钦州市建设工程造价信息公布的房屋建筑造价指标指数的115%。</w:t>
      </w:r>
    </w:p>
    <w:p>
      <w:pPr>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二、取消一、二、三级房地产开发企业按信用等级分级监管预售资金的措施。</w:t>
      </w:r>
    </w:p>
    <w:p>
      <w:pPr>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三、自2023年2月26日后申办商品房预售许可手续的楼栋，按照本通知第一点执行；2023年2月26日前正在监管，为一、二、三级信用等级企业开发的楼栋，均按1955元/m</w:t>
      </w:r>
      <w:r>
        <w:rPr>
          <w:rFonts w:hint="default" w:ascii="Times New Roman" w:hAnsi="Times New Roman" w:eastAsia="方正仿宋_GBK" w:cs="Times New Roman"/>
          <w:color w:val="000000"/>
          <w:sz w:val="32"/>
          <w:szCs w:val="32"/>
          <w:vertAlign w:val="superscript"/>
        </w:rPr>
        <w:t>2</w:t>
      </w:r>
      <w:r>
        <w:rPr>
          <w:rFonts w:hint="default" w:ascii="Times New Roman" w:hAnsi="Times New Roman" w:eastAsia="方正仿宋_GBK" w:cs="Times New Roman"/>
          <w:color w:val="000000"/>
          <w:sz w:val="32"/>
          <w:szCs w:val="32"/>
        </w:rPr>
        <w:t>确定重点监管额度；为四级信用等级企业开发的，按1955元/m</w:t>
      </w:r>
      <w:r>
        <w:rPr>
          <w:rFonts w:hint="default" w:ascii="Times New Roman" w:hAnsi="Times New Roman" w:eastAsia="方正仿宋_GBK" w:cs="Times New Roman"/>
          <w:color w:val="000000"/>
          <w:sz w:val="32"/>
          <w:szCs w:val="32"/>
          <w:vertAlign w:val="superscript"/>
        </w:rPr>
        <w:t>2</w:t>
      </w:r>
      <w:r>
        <w:rPr>
          <w:rFonts w:hint="default" w:ascii="Times New Roman" w:hAnsi="Times New Roman" w:eastAsia="方正仿宋_GBK" w:cs="Times New Roman"/>
          <w:color w:val="000000"/>
          <w:sz w:val="32"/>
          <w:szCs w:val="32"/>
        </w:rPr>
        <w:t>上浮50%确定重点监管额度。</w:t>
      </w:r>
    </w:p>
    <w:p>
      <w:pPr>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四、商品房预售资金重点监管额度根据钦州市建设工程造价信息公布的房屋建筑造价指标指数动态调整。</w:t>
      </w:r>
    </w:p>
    <w:p>
      <w:pPr>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五、本通知具体由市住房城乡建设局负责解释</w:t>
      </w:r>
      <w:r>
        <w:rPr>
          <w:rFonts w:hint="default" w:ascii="Times New Roman" w:hAnsi="Times New Roman" w:eastAsia="方正仿宋_GBK" w:cs="Times New Roman"/>
          <w:bCs/>
          <w:color w:val="000000"/>
          <w:sz w:val="32"/>
          <w:szCs w:val="32"/>
        </w:rPr>
        <w:t>。联系人：黄宝国，联系方式：2826025；黄霞晖，联系方式：2862011。</w:t>
      </w: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2"/>
        <w:rPr>
          <w:rFonts w:hint="default"/>
          <w:lang w:val="en-US" w:eastAsia="zh-CN"/>
        </w:rPr>
      </w:pPr>
    </w:p>
    <w:p>
      <w:pPr>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钦州市住房和城乡建设局</w:t>
      </w:r>
    </w:p>
    <w:p>
      <w:pPr>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2023年2月</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日</w:t>
      </w:r>
    </w:p>
    <w:p>
      <w:pPr>
        <w:rPr>
          <w:rFonts w:hint="eastAsia"/>
          <w:lang w:val="en-US" w:eastAsia="zh-CN"/>
        </w:rPr>
      </w:pPr>
    </w:p>
    <w:p>
      <w:pPr>
        <w:rPr>
          <w:rFonts w:hint="eastAsia" w:ascii="宋体" w:hAnsi="宋体" w:cs="宋体"/>
          <w:sz w:val="24"/>
          <w:szCs w:val="24"/>
          <w:lang w:val="en-US" w:eastAsia="zh-CN"/>
        </w:rPr>
      </w:pPr>
    </w:p>
    <w:p>
      <w:pPr>
        <w:pStyle w:val="4"/>
        <w:rPr>
          <w:rFonts w:hint="eastAsia" w:ascii="宋体" w:hAnsi="宋体" w:cs="宋体"/>
          <w:sz w:val="24"/>
          <w:szCs w:val="24"/>
          <w:lang w:val="en-US" w:eastAsia="zh-CN"/>
        </w:rPr>
      </w:pPr>
    </w:p>
    <w:p>
      <w:pPr>
        <w:rPr>
          <w:rFonts w:hint="eastAsia" w:ascii="宋体" w:hAnsi="宋体" w:cs="宋体"/>
          <w:sz w:val="24"/>
          <w:szCs w:val="24"/>
          <w:lang w:val="en-US" w:eastAsia="zh-CN"/>
        </w:rPr>
      </w:pPr>
    </w:p>
    <w:p>
      <w:pPr>
        <w:pStyle w:val="4"/>
        <w:rPr>
          <w:rFonts w:hint="eastAsia" w:ascii="宋体" w:hAnsi="宋体" w:cs="宋体"/>
          <w:sz w:val="24"/>
          <w:szCs w:val="24"/>
          <w:lang w:val="en-US" w:eastAsia="zh-CN"/>
        </w:rPr>
      </w:pPr>
    </w:p>
    <w:p>
      <w:pPr>
        <w:rPr>
          <w:rFonts w:hint="eastAsia" w:ascii="宋体" w:hAnsi="宋体" w:cs="宋体"/>
          <w:sz w:val="24"/>
          <w:szCs w:val="24"/>
          <w:lang w:val="en-US" w:eastAsia="zh-CN"/>
        </w:rPr>
      </w:pPr>
    </w:p>
    <w:p>
      <w:pPr>
        <w:pStyle w:val="4"/>
        <w:rPr>
          <w:rFonts w:hint="eastAsia" w:ascii="宋体" w:hAnsi="宋体" w:cs="宋体"/>
          <w:sz w:val="24"/>
          <w:szCs w:val="24"/>
          <w:lang w:val="en-US" w:eastAsia="zh-CN"/>
        </w:rPr>
      </w:pPr>
    </w:p>
    <w:p>
      <w:pPr>
        <w:rPr>
          <w:rFonts w:hint="eastAsia" w:ascii="宋体" w:hAnsi="宋体" w:cs="宋体"/>
          <w:sz w:val="24"/>
          <w:szCs w:val="24"/>
          <w:lang w:val="en-US" w:eastAsia="zh-CN"/>
        </w:rPr>
      </w:pPr>
    </w:p>
    <w:p>
      <w:pPr>
        <w:pStyle w:val="4"/>
        <w:rPr>
          <w:rFonts w:hint="eastAsia" w:ascii="宋体" w:hAnsi="宋体" w:cs="宋体"/>
          <w:sz w:val="24"/>
          <w:szCs w:val="24"/>
          <w:lang w:val="en-US" w:eastAsia="zh-CN"/>
        </w:rPr>
      </w:pPr>
    </w:p>
    <w:p>
      <w:pPr>
        <w:rPr>
          <w:rFonts w:hint="eastAsia" w:ascii="宋体" w:hAnsi="宋体" w:cs="宋体"/>
          <w:sz w:val="24"/>
          <w:szCs w:val="24"/>
          <w:lang w:val="en-US" w:eastAsia="zh-CN"/>
        </w:rPr>
      </w:pPr>
    </w:p>
    <w:p>
      <w:pPr>
        <w:pStyle w:val="4"/>
        <w:rPr>
          <w:rFonts w:hint="eastAsia" w:ascii="宋体" w:hAnsi="宋体" w:cs="宋体"/>
          <w:sz w:val="24"/>
          <w:szCs w:val="24"/>
          <w:lang w:val="en-US" w:eastAsia="zh-CN"/>
        </w:rPr>
      </w:pPr>
    </w:p>
    <w:p>
      <w:pPr>
        <w:rPr>
          <w:rFonts w:hint="eastAsia" w:ascii="宋体" w:hAnsi="宋体" w:cs="宋体"/>
          <w:sz w:val="24"/>
          <w:szCs w:val="24"/>
          <w:lang w:val="en-US" w:eastAsia="zh-CN"/>
        </w:rPr>
      </w:pPr>
    </w:p>
    <w:p>
      <w:pPr>
        <w:pStyle w:val="4"/>
        <w:rPr>
          <w:rFonts w:hint="eastAsia" w:ascii="宋体" w:hAnsi="宋体" w:cs="宋体"/>
          <w:sz w:val="24"/>
          <w:szCs w:val="24"/>
          <w:lang w:val="en-US" w:eastAsia="zh-CN"/>
        </w:rPr>
      </w:pPr>
    </w:p>
    <w:p>
      <w:pPr>
        <w:rPr>
          <w:rFonts w:hint="eastAsia" w:ascii="宋体" w:hAnsi="宋体" w:cs="宋体"/>
          <w:sz w:val="24"/>
          <w:szCs w:val="24"/>
          <w:lang w:val="en-US" w:eastAsia="zh-CN"/>
        </w:rPr>
      </w:pPr>
    </w:p>
    <w:p>
      <w:pPr>
        <w:pStyle w:val="4"/>
        <w:rPr>
          <w:rFonts w:hint="eastAsia" w:ascii="宋体" w:hAnsi="宋体" w:cs="宋体"/>
          <w:sz w:val="24"/>
          <w:szCs w:val="24"/>
          <w:lang w:val="en-US" w:eastAsia="zh-CN"/>
        </w:rPr>
      </w:pPr>
    </w:p>
    <w:p>
      <w:pPr>
        <w:rPr>
          <w:rFonts w:hint="eastAsia" w:ascii="宋体" w:hAnsi="宋体" w:cs="宋体"/>
          <w:sz w:val="24"/>
          <w:szCs w:val="24"/>
          <w:lang w:val="en-US" w:eastAsia="zh-CN"/>
        </w:rPr>
      </w:pPr>
    </w:p>
    <w:p>
      <w:pPr>
        <w:pStyle w:val="2"/>
        <w:rPr>
          <w:rFonts w:hint="eastAsia" w:ascii="宋体" w:hAnsi="宋体" w:cs="宋体"/>
          <w:sz w:val="24"/>
          <w:szCs w:val="24"/>
          <w:lang w:val="en-US" w:eastAsia="zh-CN"/>
        </w:rPr>
      </w:pPr>
    </w:p>
    <w:p>
      <w:pPr>
        <w:pStyle w:val="3"/>
        <w:rPr>
          <w:rFonts w:hint="eastAsia"/>
          <w:lang w:val="en-US" w:eastAsia="zh-CN"/>
        </w:rPr>
      </w:pPr>
    </w:p>
    <w:p>
      <w:pPr>
        <w:pStyle w:val="3"/>
        <w:rPr>
          <w:rFonts w:hint="eastAsia"/>
          <w:lang w:val="en-US" w:eastAsia="zh-CN"/>
        </w:rPr>
      </w:pPr>
    </w:p>
    <w:p>
      <w:pPr>
        <w:rPr>
          <w:rFonts w:hint="eastAsia" w:ascii="宋体" w:hAnsi="宋体" w:cs="宋体"/>
          <w:sz w:val="24"/>
          <w:szCs w:val="24"/>
          <w:lang w:val="en-US" w:eastAsia="zh-CN"/>
        </w:rPr>
      </w:pPr>
    </w:p>
    <w:p>
      <w:pPr>
        <w:pBdr>
          <w:bottom w:val="single" w:color="auto" w:sz="4" w:space="1"/>
        </w:pBdr>
        <w:tabs>
          <w:tab w:val="left" w:pos="4298"/>
        </w:tabs>
        <w:spacing w:line="540" w:lineRule="exact"/>
        <w:ind w:firstLine="280" w:firstLineChars="1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w:t>
      </w:r>
      <w:r>
        <w:rPr>
          <w:rFonts w:ascii="Times New Roman" w:hAnsi="Times New Roman" w:eastAsia="方正仿宋_GBK" w:cs="Times New Roman"/>
          <w:sz w:val="28"/>
          <w:szCs w:val="28"/>
        </w:rPr>
        <w:t>公开</w:t>
      </w:r>
    </w:p>
    <w:p>
      <w:pPr>
        <w:spacing w:line="540" w:lineRule="exact"/>
        <w:ind w:left="1180" w:leftChars="162" w:hanging="840" w:hangingChars="300"/>
        <w:rPr>
          <w:rFonts w:ascii="Times New Roman" w:hAnsi="Times New Roman" w:eastAsia="方正仿宋_GBK" w:cs="Times New Roman"/>
          <w:sz w:val="32"/>
          <w:szCs w:val="32"/>
        </w:rPr>
      </w:pPr>
      <w:r>
        <w:rPr>
          <w:rFonts w:ascii="Times New Roman" w:hAnsi="Times New Roman" w:eastAsia="方正仿宋_GBK" w:cs="Times New Roman"/>
          <w:sz w:val="28"/>
          <w:szCs w:val="28"/>
        </w:rPr>
        <w:t>抄送：</w:t>
      </w:r>
      <w:r>
        <w:rPr>
          <w:rFonts w:hint="default" w:ascii="Times New Roman" w:hAnsi="Times New Roman" w:eastAsia="方正仿宋_GBK" w:cs="Times New Roman"/>
          <w:sz w:val="28"/>
          <w:szCs w:val="28"/>
          <w:lang w:val="en-US" w:eastAsia="zh-CN"/>
        </w:rPr>
        <w:t>自贸区钦州港片区自然资源和建设局，各县（区）住房城乡建设局</w:t>
      </w:r>
      <w:r>
        <w:rPr>
          <w:rFonts w:hint="eastAsia" w:ascii="Times New Roman" w:hAnsi="Times New Roman" w:eastAsia="方正仿宋_GBK" w:cs="Times New Roman"/>
          <w:sz w:val="28"/>
          <w:szCs w:val="28"/>
          <w:lang w:val="en-US" w:eastAsia="zh-CN"/>
        </w:rPr>
        <w:t>，市建设规划信息中心，市房屋产权交易监理中心。</w:t>
      </w:r>
    </w:p>
    <w:p>
      <w:pPr>
        <w:pBdr>
          <w:top w:val="single" w:color="auto" w:sz="4" w:space="2"/>
          <w:bottom w:val="single" w:color="auto" w:sz="4" w:space="0"/>
        </w:pBdr>
        <w:tabs>
          <w:tab w:val="left" w:pos="4298"/>
        </w:tabs>
        <w:spacing w:line="540" w:lineRule="exact"/>
        <w:ind w:firstLine="280" w:firstLineChars="100"/>
        <w:jc w:val="left"/>
        <w:rPr>
          <w:rFonts w:hint="eastAsia"/>
          <w:lang w:val="en-US" w:eastAsia="zh-CN"/>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3</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20</w:t>
      </w:r>
      <w:r>
        <w:rPr>
          <w:rFonts w:ascii="Times New Roman" w:hAnsi="Times New Roman" w:eastAsia="方正仿宋_GBK" w:cs="Times New Roman"/>
          <w:sz w:val="28"/>
          <w:szCs w:val="28"/>
        </w:rPr>
        <w:t>日印发</w:t>
      </w:r>
    </w:p>
    <w:sectPr>
      <w:footerReference r:id="rId3" w:type="default"/>
      <w:pgSz w:w="11906" w:h="16838"/>
      <w:pgMar w:top="2041" w:right="1531" w:bottom="2041" w:left="1531" w:header="851" w:footer="992"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大标宋简体">
    <w:altName w:val="Arial Unicode MS"/>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2591A"/>
    <w:rsid w:val="009533B6"/>
    <w:rsid w:val="062D4888"/>
    <w:rsid w:val="0DFF0C5B"/>
    <w:rsid w:val="0EA34975"/>
    <w:rsid w:val="15916893"/>
    <w:rsid w:val="1677350F"/>
    <w:rsid w:val="172931F2"/>
    <w:rsid w:val="18670419"/>
    <w:rsid w:val="238123EF"/>
    <w:rsid w:val="244127D5"/>
    <w:rsid w:val="258F70C6"/>
    <w:rsid w:val="274D165C"/>
    <w:rsid w:val="2AEE4D92"/>
    <w:rsid w:val="2BF51A3C"/>
    <w:rsid w:val="2F416621"/>
    <w:rsid w:val="335A7249"/>
    <w:rsid w:val="366D0826"/>
    <w:rsid w:val="3D8973D3"/>
    <w:rsid w:val="3DE9461C"/>
    <w:rsid w:val="3E0F6DF7"/>
    <w:rsid w:val="3F367AD3"/>
    <w:rsid w:val="41306837"/>
    <w:rsid w:val="483E56BE"/>
    <w:rsid w:val="48BB7DF0"/>
    <w:rsid w:val="495E2180"/>
    <w:rsid w:val="4E1E108F"/>
    <w:rsid w:val="514F2077"/>
    <w:rsid w:val="520F30B4"/>
    <w:rsid w:val="56AA45DA"/>
    <w:rsid w:val="59665351"/>
    <w:rsid w:val="5A783687"/>
    <w:rsid w:val="62003B5E"/>
    <w:rsid w:val="63966E07"/>
    <w:rsid w:val="647837A6"/>
    <w:rsid w:val="690C0911"/>
    <w:rsid w:val="6E861465"/>
    <w:rsid w:val="70BE4B00"/>
    <w:rsid w:val="76A515CA"/>
    <w:rsid w:val="771A6730"/>
    <w:rsid w:val="77AF51C9"/>
    <w:rsid w:val="79071B7F"/>
    <w:rsid w:val="799533FB"/>
    <w:rsid w:val="7AAB0105"/>
    <w:rsid w:val="7C411076"/>
    <w:rsid w:val="7FE2591A"/>
    <w:rsid w:val="7FE861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Body Text"/>
    <w:next w:val="3"/>
    <w:qFormat/>
    <w:uiPriority w:val="0"/>
    <w:pPr>
      <w:widowControl w:val="0"/>
      <w:jc w:val="both"/>
    </w:pPr>
    <w:rPr>
      <w:rFonts w:ascii="仿宋_GB2312" w:hAnsi="宋体" w:eastAsia="仿宋_GB2312" w:cs="Times New Roman"/>
      <w:kern w:val="2"/>
      <w:sz w:val="21"/>
      <w:szCs w:val="21"/>
      <w:lang w:val="en-US" w:eastAsia="zh-CN" w:bidi="ar-SA"/>
    </w:rPr>
  </w:style>
  <w:style w:type="paragraph" w:customStyle="1" w:styleId="3">
    <w:name w:val="正文文本 21"/>
    <w:qFormat/>
    <w:uiPriority w:val="99"/>
    <w:pPr>
      <w:widowControl w:val="0"/>
      <w:spacing w:after="120" w:line="480" w:lineRule="auto"/>
      <w:jc w:val="both"/>
    </w:pPr>
    <w:rPr>
      <w:rFonts w:ascii="Calibri" w:hAnsi="Calibri" w:eastAsia="宋体" w:cs="Times New Roman"/>
      <w:kern w:val="2"/>
      <w:sz w:val="21"/>
      <w:szCs w:val="24"/>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2023-02-10T00:37:00Z</dcterms:created>
  <dc:creator>霞晖</dc:creator>
  <cp:lastModifiedBy>WPS_1658825168</cp:lastModifiedBy>
  <cp:lastPrinted>2023-02-14T01:19:46Z</cp:lastPrinted>
  <dcterms:modified xsi:type="dcterms:W3CDTF">2023-03-02T00:34:08Z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